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D0DF" w14:textId="0A6AA69A" w:rsidR="001655A5" w:rsidRDefault="00502495">
      <w:pPr>
        <w:spacing w:line="360" w:lineRule="auto"/>
        <w:rPr>
          <w:sz w:val="30"/>
          <w:szCs w:val="30"/>
        </w:rPr>
      </w:pPr>
      <w:r>
        <w:rPr>
          <w:noProof/>
          <w:sz w:val="30"/>
          <w:szCs w:val="30"/>
        </w:rPr>
        <w:drawing>
          <wp:inline distT="0" distB="0" distL="0" distR="0" wp14:anchorId="38862442" wp14:editId="2F692B1E">
            <wp:extent cx="1781175" cy="1781175"/>
            <wp:effectExtent l="0" t="0" r="9525" b="9525"/>
            <wp:docPr id="1839841368" name="Afbeelding 1"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41368" name="Afbeelding 1" descr="Afbeelding met Lettertype, Graphics, tekst, logo&#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1781175"/>
                    </a:xfrm>
                    <a:prstGeom prst="rect">
                      <a:avLst/>
                    </a:prstGeom>
                  </pic:spPr>
                </pic:pic>
              </a:graphicData>
            </a:graphic>
          </wp:inline>
        </w:drawing>
      </w:r>
    </w:p>
    <w:p w14:paraId="7750C8DC" w14:textId="77777777" w:rsidR="001655A5" w:rsidRDefault="001655A5">
      <w:pPr>
        <w:spacing w:line="360" w:lineRule="auto"/>
        <w:rPr>
          <w:sz w:val="30"/>
          <w:szCs w:val="30"/>
        </w:rPr>
      </w:pPr>
    </w:p>
    <w:p w14:paraId="56146FAE" w14:textId="77777777" w:rsidR="001655A5" w:rsidRDefault="001655A5">
      <w:pPr>
        <w:spacing w:line="360" w:lineRule="auto"/>
        <w:rPr>
          <w:sz w:val="30"/>
          <w:szCs w:val="30"/>
        </w:rPr>
      </w:pPr>
    </w:p>
    <w:p w14:paraId="690D533B" w14:textId="77777777" w:rsidR="001655A5" w:rsidRDefault="001655A5">
      <w:pPr>
        <w:spacing w:line="360" w:lineRule="auto"/>
        <w:rPr>
          <w:sz w:val="30"/>
          <w:szCs w:val="30"/>
        </w:rPr>
      </w:pPr>
    </w:p>
    <w:p w14:paraId="6AA25417" w14:textId="77777777" w:rsidR="001655A5" w:rsidRDefault="001655A5">
      <w:pPr>
        <w:spacing w:line="360" w:lineRule="auto"/>
        <w:rPr>
          <w:sz w:val="30"/>
          <w:szCs w:val="30"/>
        </w:rPr>
      </w:pPr>
    </w:p>
    <w:p w14:paraId="7080D7C2" w14:textId="77777777" w:rsidR="001655A5" w:rsidRDefault="00502495">
      <w:pPr>
        <w:spacing w:line="360" w:lineRule="auto"/>
        <w:rPr>
          <w:sz w:val="30"/>
          <w:szCs w:val="30"/>
        </w:rPr>
      </w:pPr>
      <w:r>
        <w:rPr>
          <w:sz w:val="30"/>
          <w:szCs w:val="30"/>
        </w:rPr>
        <w:t xml:space="preserve">Beleidsplan voor leerlingen </w:t>
      </w:r>
    </w:p>
    <w:p w14:paraId="19E232C7" w14:textId="77777777" w:rsidR="001655A5" w:rsidRDefault="00502495">
      <w:pPr>
        <w:spacing w:line="360" w:lineRule="auto"/>
        <w:rPr>
          <w:sz w:val="30"/>
          <w:szCs w:val="30"/>
        </w:rPr>
      </w:pPr>
      <w:r>
        <w:rPr>
          <w:sz w:val="30"/>
          <w:szCs w:val="30"/>
        </w:rPr>
        <w:t xml:space="preserve">met kenmerken van (hoog)begaafdheid </w:t>
      </w:r>
    </w:p>
    <w:p w14:paraId="15C2B52B" w14:textId="77777777" w:rsidR="001655A5" w:rsidRDefault="001655A5">
      <w:pPr>
        <w:spacing w:line="360" w:lineRule="auto"/>
        <w:rPr>
          <w:sz w:val="30"/>
          <w:szCs w:val="30"/>
        </w:rPr>
      </w:pPr>
    </w:p>
    <w:tbl>
      <w:tblPr>
        <w:tblStyle w:val="a"/>
        <w:tblpPr w:leftFromText="141" w:rightFromText="141" w:vertAnchor="text" w:horzAnchor="margin" w:tblpY="386"/>
        <w:tblW w:w="5524" w:type="dxa"/>
        <w:tblInd w:w="0" w:type="dxa"/>
        <w:tblLayout w:type="fixed"/>
        <w:tblLook w:val="0400" w:firstRow="0" w:lastRow="0" w:firstColumn="0" w:lastColumn="0" w:noHBand="0" w:noVBand="1"/>
      </w:tblPr>
      <w:tblGrid>
        <w:gridCol w:w="1980"/>
        <w:gridCol w:w="3544"/>
      </w:tblGrid>
      <w:tr w:rsidR="009E7244" w14:paraId="2580EBB8" w14:textId="77777777" w:rsidTr="009E7244">
        <w:tc>
          <w:tcPr>
            <w:tcW w:w="1980" w:type="dxa"/>
            <w:tcMar>
              <w:top w:w="0" w:type="dxa"/>
              <w:left w:w="108" w:type="dxa"/>
              <w:bottom w:w="0" w:type="dxa"/>
              <w:right w:w="108" w:type="dxa"/>
            </w:tcMar>
          </w:tcPr>
          <w:p w14:paraId="05ADFDA3" w14:textId="77777777" w:rsidR="009E7244" w:rsidRDefault="009E7244" w:rsidP="009E7244">
            <w:pPr>
              <w:spacing w:line="360" w:lineRule="auto"/>
              <w:rPr>
                <w:sz w:val="20"/>
                <w:szCs w:val="20"/>
              </w:rPr>
            </w:pPr>
            <w:r>
              <w:rPr>
                <w:sz w:val="20"/>
                <w:szCs w:val="20"/>
              </w:rPr>
              <w:t>Auteur</w:t>
            </w:r>
          </w:p>
        </w:tc>
        <w:tc>
          <w:tcPr>
            <w:tcW w:w="3544" w:type="dxa"/>
            <w:tcMar>
              <w:top w:w="0" w:type="dxa"/>
              <w:left w:w="108" w:type="dxa"/>
              <w:bottom w:w="0" w:type="dxa"/>
              <w:right w:w="108" w:type="dxa"/>
            </w:tcMar>
          </w:tcPr>
          <w:p w14:paraId="7EE80125" w14:textId="77777777" w:rsidR="009E7244" w:rsidRDefault="009E7244" w:rsidP="009E7244">
            <w:pPr>
              <w:spacing w:line="360" w:lineRule="auto"/>
              <w:rPr>
                <w:sz w:val="20"/>
                <w:szCs w:val="20"/>
              </w:rPr>
            </w:pPr>
            <w:r>
              <w:rPr>
                <w:sz w:val="20"/>
                <w:szCs w:val="20"/>
              </w:rPr>
              <w:t>Marije van Rijswijk</w:t>
            </w:r>
          </w:p>
        </w:tc>
      </w:tr>
      <w:tr w:rsidR="009E7244" w14:paraId="4AAA8723" w14:textId="77777777" w:rsidTr="009E7244">
        <w:tc>
          <w:tcPr>
            <w:tcW w:w="1980" w:type="dxa"/>
            <w:tcMar>
              <w:top w:w="0" w:type="dxa"/>
              <w:left w:w="108" w:type="dxa"/>
              <w:bottom w:w="0" w:type="dxa"/>
              <w:right w:w="108" w:type="dxa"/>
            </w:tcMar>
          </w:tcPr>
          <w:p w14:paraId="5DDFAE4F" w14:textId="77777777" w:rsidR="009E7244" w:rsidRDefault="009E7244" w:rsidP="009E7244">
            <w:pPr>
              <w:spacing w:line="360" w:lineRule="auto"/>
              <w:rPr>
                <w:sz w:val="20"/>
                <w:szCs w:val="20"/>
              </w:rPr>
            </w:pPr>
            <w:r>
              <w:rPr>
                <w:sz w:val="20"/>
                <w:szCs w:val="20"/>
              </w:rPr>
              <w:t>Datum</w:t>
            </w:r>
          </w:p>
        </w:tc>
        <w:tc>
          <w:tcPr>
            <w:tcW w:w="3544" w:type="dxa"/>
            <w:tcMar>
              <w:top w:w="0" w:type="dxa"/>
              <w:left w:w="108" w:type="dxa"/>
              <w:bottom w:w="0" w:type="dxa"/>
              <w:right w:w="108" w:type="dxa"/>
            </w:tcMar>
          </w:tcPr>
          <w:p w14:paraId="692EFCF1" w14:textId="77777777" w:rsidR="009E7244" w:rsidRDefault="009E7244" w:rsidP="009E7244">
            <w:pPr>
              <w:spacing w:line="360" w:lineRule="auto"/>
              <w:rPr>
                <w:sz w:val="20"/>
                <w:szCs w:val="20"/>
              </w:rPr>
            </w:pPr>
            <w:r>
              <w:rPr>
                <w:sz w:val="20"/>
                <w:szCs w:val="20"/>
              </w:rPr>
              <w:t>1 september 2025</w:t>
            </w:r>
          </w:p>
        </w:tc>
      </w:tr>
    </w:tbl>
    <w:p w14:paraId="69ACE0ED" w14:textId="77777777" w:rsidR="001655A5" w:rsidRDefault="001655A5">
      <w:pPr>
        <w:spacing w:line="360" w:lineRule="auto"/>
        <w:rPr>
          <w:sz w:val="30"/>
          <w:szCs w:val="30"/>
        </w:rPr>
      </w:pPr>
    </w:p>
    <w:p w14:paraId="03C10C14" w14:textId="77777777" w:rsidR="009E7244" w:rsidRDefault="009E7244">
      <w:pPr>
        <w:spacing w:line="360" w:lineRule="auto"/>
        <w:rPr>
          <w:sz w:val="30"/>
          <w:szCs w:val="30"/>
        </w:rPr>
      </w:pPr>
    </w:p>
    <w:p w14:paraId="33410378" w14:textId="77777777" w:rsidR="009E7244" w:rsidRDefault="009E7244">
      <w:pPr>
        <w:spacing w:line="360" w:lineRule="auto"/>
        <w:rPr>
          <w:sz w:val="30"/>
          <w:szCs w:val="30"/>
        </w:rPr>
      </w:pPr>
    </w:p>
    <w:p w14:paraId="0187C324" w14:textId="77777777" w:rsidR="009E7244" w:rsidRDefault="009E7244">
      <w:pPr>
        <w:spacing w:line="360" w:lineRule="auto"/>
        <w:rPr>
          <w:sz w:val="30"/>
          <w:szCs w:val="30"/>
        </w:rPr>
      </w:pPr>
    </w:p>
    <w:p w14:paraId="0B2D33C3" w14:textId="77777777" w:rsidR="009E7244" w:rsidRDefault="009E7244">
      <w:pPr>
        <w:spacing w:line="360" w:lineRule="auto"/>
        <w:rPr>
          <w:sz w:val="30"/>
          <w:szCs w:val="30"/>
        </w:rPr>
      </w:pPr>
    </w:p>
    <w:p w14:paraId="677979D3" w14:textId="77777777" w:rsidR="009E7244" w:rsidRDefault="009E7244">
      <w:pPr>
        <w:spacing w:line="360" w:lineRule="auto"/>
        <w:rPr>
          <w:sz w:val="30"/>
          <w:szCs w:val="30"/>
        </w:rPr>
      </w:pPr>
    </w:p>
    <w:p w14:paraId="4ACBC9EA" w14:textId="77777777" w:rsidR="009E7244" w:rsidRDefault="009E7244">
      <w:pPr>
        <w:spacing w:line="360" w:lineRule="auto"/>
        <w:rPr>
          <w:sz w:val="30"/>
          <w:szCs w:val="30"/>
        </w:rPr>
      </w:pPr>
    </w:p>
    <w:p w14:paraId="3E7A7533" w14:textId="77777777" w:rsidR="009E7244" w:rsidRDefault="009E7244">
      <w:pPr>
        <w:spacing w:line="360" w:lineRule="auto"/>
        <w:rPr>
          <w:sz w:val="30"/>
          <w:szCs w:val="30"/>
        </w:rPr>
      </w:pPr>
    </w:p>
    <w:p w14:paraId="3E7CA2AC" w14:textId="77777777" w:rsidR="009E7244" w:rsidRDefault="009E7244">
      <w:pPr>
        <w:spacing w:line="360" w:lineRule="auto"/>
        <w:rPr>
          <w:sz w:val="30"/>
          <w:szCs w:val="30"/>
        </w:rPr>
      </w:pPr>
    </w:p>
    <w:p w14:paraId="269E4515" w14:textId="77777777" w:rsidR="009E7244" w:rsidRDefault="009E7244">
      <w:pPr>
        <w:spacing w:line="360" w:lineRule="auto"/>
        <w:rPr>
          <w:sz w:val="30"/>
          <w:szCs w:val="30"/>
        </w:rPr>
      </w:pPr>
    </w:p>
    <w:p w14:paraId="74822E55" w14:textId="77777777" w:rsidR="009E7244" w:rsidRDefault="009E7244">
      <w:pPr>
        <w:spacing w:line="360" w:lineRule="auto"/>
        <w:rPr>
          <w:sz w:val="30"/>
          <w:szCs w:val="30"/>
        </w:rPr>
      </w:pPr>
    </w:p>
    <w:p w14:paraId="47B5A3CB" w14:textId="2E9AF341" w:rsidR="001655A5" w:rsidRDefault="00502495">
      <w:pPr>
        <w:spacing w:line="360" w:lineRule="auto"/>
        <w:rPr>
          <w:sz w:val="30"/>
          <w:szCs w:val="30"/>
        </w:rPr>
      </w:pPr>
      <w:r>
        <w:rPr>
          <w:sz w:val="30"/>
          <w:szCs w:val="30"/>
        </w:rPr>
        <w:br/>
      </w:r>
      <w:r>
        <w:rPr>
          <w:sz w:val="30"/>
          <w:szCs w:val="30"/>
        </w:rPr>
        <w:br/>
      </w:r>
    </w:p>
    <w:p w14:paraId="5E1338EC" w14:textId="77777777" w:rsidR="009E7244" w:rsidRDefault="009E7244">
      <w:pPr>
        <w:keepNext/>
        <w:keepLines/>
        <w:pBdr>
          <w:top w:val="nil"/>
          <w:left w:val="nil"/>
          <w:bottom w:val="nil"/>
          <w:right w:val="nil"/>
          <w:between w:val="nil"/>
        </w:pBdr>
        <w:spacing w:before="240" w:line="259" w:lineRule="auto"/>
        <w:rPr>
          <w:rFonts w:ascii="Calibri" w:eastAsia="Calibri" w:hAnsi="Calibri" w:cs="Calibri"/>
          <w:sz w:val="32"/>
          <w:szCs w:val="32"/>
        </w:rPr>
      </w:pPr>
    </w:p>
    <w:p w14:paraId="7A50DFC9" w14:textId="77777777" w:rsidR="009E7244" w:rsidRDefault="009E7244">
      <w:pPr>
        <w:keepNext/>
        <w:keepLines/>
        <w:pBdr>
          <w:top w:val="nil"/>
          <w:left w:val="nil"/>
          <w:bottom w:val="nil"/>
          <w:right w:val="nil"/>
          <w:between w:val="nil"/>
        </w:pBdr>
        <w:spacing w:before="240" w:line="259" w:lineRule="auto"/>
        <w:rPr>
          <w:rFonts w:ascii="Calibri" w:eastAsia="Calibri" w:hAnsi="Calibri" w:cs="Calibri"/>
          <w:sz w:val="32"/>
          <w:szCs w:val="32"/>
        </w:rPr>
      </w:pPr>
    </w:p>
    <w:p w14:paraId="7E3CA4BB" w14:textId="77777777" w:rsidR="009E7244" w:rsidRDefault="009E7244">
      <w:pPr>
        <w:keepNext/>
        <w:keepLines/>
        <w:pBdr>
          <w:top w:val="nil"/>
          <w:left w:val="nil"/>
          <w:bottom w:val="nil"/>
          <w:right w:val="nil"/>
          <w:between w:val="nil"/>
        </w:pBdr>
        <w:spacing w:before="240" w:line="259" w:lineRule="auto"/>
        <w:rPr>
          <w:rFonts w:ascii="Calibri" w:eastAsia="Calibri" w:hAnsi="Calibri" w:cs="Calibri"/>
          <w:sz w:val="32"/>
          <w:szCs w:val="32"/>
        </w:rPr>
      </w:pPr>
    </w:p>
    <w:p w14:paraId="1E597445" w14:textId="0BA619E9" w:rsidR="001655A5" w:rsidRDefault="00502495">
      <w:pPr>
        <w:keepNext/>
        <w:keepLines/>
        <w:pBdr>
          <w:top w:val="nil"/>
          <w:left w:val="nil"/>
          <w:bottom w:val="nil"/>
          <w:right w:val="nil"/>
          <w:between w:val="nil"/>
        </w:pBdr>
        <w:spacing w:before="240" w:line="259" w:lineRule="auto"/>
        <w:rPr>
          <w:rFonts w:ascii="Calibri" w:eastAsia="Calibri" w:hAnsi="Calibri" w:cs="Calibri"/>
          <w:sz w:val="32"/>
          <w:szCs w:val="32"/>
        </w:rPr>
      </w:pPr>
      <w:r>
        <w:rPr>
          <w:rFonts w:ascii="Calibri" w:eastAsia="Calibri" w:hAnsi="Calibri" w:cs="Calibri"/>
          <w:sz w:val="32"/>
          <w:szCs w:val="32"/>
        </w:rPr>
        <w:t>Inhoud</w:t>
      </w:r>
    </w:p>
    <w:sdt>
      <w:sdtPr>
        <w:id w:val="567204735"/>
        <w:docPartObj>
          <w:docPartGallery w:val="Table of Contents"/>
          <w:docPartUnique/>
        </w:docPartObj>
      </w:sdtPr>
      <w:sdtContent>
        <w:p w14:paraId="68CE4684" w14:textId="77777777" w:rsidR="001655A5" w:rsidRDefault="00502495">
          <w:pPr>
            <w:pBdr>
              <w:top w:val="nil"/>
              <w:left w:val="nil"/>
              <w:bottom w:val="nil"/>
              <w:right w:val="nil"/>
              <w:between w:val="nil"/>
            </w:pBdr>
            <w:tabs>
              <w:tab w:val="right" w:pos="9019"/>
            </w:tabs>
            <w:spacing w:after="100"/>
            <w:ind w:left="220"/>
            <w:rPr>
              <w:sz w:val="20"/>
              <w:szCs w:val="20"/>
            </w:rPr>
          </w:pPr>
          <w:r>
            <w:fldChar w:fldCharType="begin"/>
          </w:r>
          <w:r>
            <w:instrText xml:space="preserve"> TOC \h \u \z \t "Heading 1,1,Heading 2,2,Heading 3,3,"</w:instrText>
          </w:r>
          <w:r>
            <w:fldChar w:fldCharType="separate"/>
          </w:r>
          <w:hyperlink w:anchor="_heading=h.2p5mryd4xi3o">
            <w:r>
              <w:rPr>
                <w:sz w:val="20"/>
                <w:szCs w:val="20"/>
              </w:rPr>
              <w:t>Visie</w:t>
            </w:r>
            <w:r>
              <w:rPr>
                <w:sz w:val="20"/>
                <w:szCs w:val="20"/>
              </w:rPr>
              <w:tab/>
              <w:t>4</w:t>
            </w:r>
          </w:hyperlink>
        </w:p>
        <w:p w14:paraId="4C7432C9" w14:textId="77777777" w:rsidR="001655A5" w:rsidRDefault="00502495">
          <w:pPr>
            <w:pBdr>
              <w:top w:val="nil"/>
              <w:left w:val="nil"/>
              <w:bottom w:val="nil"/>
              <w:right w:val="nil"/>
              <w:between w:val="nil"/>
            </w:pBdr>
            <w:tabs>
              <w:tab w:val="right" w:pos="9019"/>
            </w:tabs>
            <w:spacing w:after="100"/>
            <w:ind w:left="220"/>
            <w:rPr>
              <w:sz w:val="20"/>
              <w:szCs w:val="20"/>
            </w:rPr>
          </w:pPr>
          <w:hyperlink w:anchor="_heading=h.io5kmwwa79fs">
            <w:r>
              <w:rPr>
                <w:sz w:val="20"/>
                <w:szCs w:val="20"/>
              </w:rPr>
              <w:t>Onderwijsmodel vrijeschool</w:t>
            </w:r>
            <w:r>
              <w:rPr>
                <w:sz w:val="20"/>
                <w:szCs w:val="20"/>
              </w:rPr>
              <w:tab/>
              <w:t>5</w:t>
            </w:r>
          </w:hyperlink>
        </w:p>
        <w:p w14:paraId="20CD1406" w14:textId="77777777" w:rsidR="001655A5" w:rsidRDefault="00502495">
          <w:pPr>
            <w:pBdr>
              <w:top w:val="nil"/>
              <w:left w:val="nil"/>
              <w:bottom w:val="nil"/>
              <w:right w:val="nil"/>
              <w:between w:val="nil"/>
            </w:pBdr>
            <w:tabs>
              <w:tab w:val="right" w:pos="9019"/>
            </w:tabs>
            <w:spacing w:after="100"/>
            <w:ind w:left="220"/>
            <w:rPr>
              <w:sz w:val="20"/>
              <w:szCs w:val="20"/>
            </w:rPr>
          </w:pPr>
          <w:hyperlink w:anchor="_heading=h.pp95w0uy21n2">
            <w:r>
              <w:rPr>
                <w:sz w:val="20"/>
                <w:szCs w:val="20"/>
              </w:rPr>
              <w:t>Signaleren</w:t>
            </w:r>
            <w:r>
              <w:rPr>
                <w:sz w:val="20"/>
                <w:szCs w:val="20"/>
              </w:rPr>
              <w:tab/>
              <w:t>7</w:t>
            </w:r>
          </w:hyperlink>
        </w:p>
        <w:p w14:paraId="7685FD32" w14:textId="77777777" w:rsidR="001655A5" w:rsidRDefault="00502495">
          <w:pPr>
            <w:pBdr>
              <w:top w:val="nil"/>
              <w:left w:val="nil"/>
              <w:bottom w:val="nil"/>
              <w:right w:val="nil"/>
              <w:between w:val="nil"/>
            </w:pBdr>
            <w:tabs>
              <w:tab w:val="right" w:pos="9019"/>
            </w:tabs>
            <w:spacing w:after="100"/>
            <w:ind w:left="220"/>
            <w:rPr>
              <w:sz w:val="20"/>
              <w:szCs w:val="20"/>
            </w:rPr>
          </w:pPr>
          <w:hyperlink w:anchor="_heading=h.sifnx7tvidrf">
            <w:r>
              <w:rPr>
                <w:sz w:val="20"/>
                <w:szCs w:val="20"/>
              </w:rPr>
              <w:t>Differentiëren</w:t>
            </w:r>
            <w:r>
              <w:rPr>
                <w:sz w:val="20"/>
                <w:szCs w:val="20"/>
              </w:rPr>
              <w:tab/>
            </w:r>
            <w:r>
              <w:rPr>
                <w:sz w:val="20"/>
                <w:szCs w:val="20"/>
              </w:rPr>
              <w:t>8</w:t>
            </w:r>
          </w:hyperlink>
        </w:p>
        <w:p w14:paraId="0D4F7143" w14:textId="77777777" w:rsidR="001655A5" w:rsidRDefault="00502495">
          <w:pPr>
            <w:pBdr>
              <w:top w:val="nil"/>
              <w:left w:val="nil"/>
              <w:bottom w:val="nil"/>
              <w:right w:val="nil"/>
              <w:between w:val="nil"/>
            </w:pBdr>
            <w:tabs>
              <w:tab w:val="right" w:pos="9019"/>
            </w:tabs>
            <w:spacing w:after="100"/>
            <w:ind w:left="220"/>
            <w:rPr>
              <w:sz w:val="20"/>
              <w:szCs w:val="20"/>
            </w:rPr>
          </w:pPr>
          <w:hyperlink w:anchor="_heading=h.5zvcz4ht2cki">
            <w:r>
              <w:rPr>
                <w:sz w:val="20"/>
                <w:szCs w:val="20"/>
              </w:rPr>
              <w:t>Literatuurlijst</w:t>
            </w:r>
            <w:r>
              <w:rPr>
                <w:sz w:val="20"/>
                <w:szCs w:val="20"/>
              </w:rPr>
              <w:tab/>
              <w:t>10</w:t>
            </w:r>
          </w:hyperlink>
        </w:p>
        <w:p w14:paraId="3BB8C1D3" w14:textId="77777777" w:rsidR="001655A5" w:rsidRDefault="00502495">
          <w:r>
            <w:fldChar w:fldCharType="end"/>
          </w:r>
        </w:p>
      </w:sdtContent>
    </w:sdt>
    <w:p w14:paraId="39F0951E" w14:textId="77777777" w:rsidR="001655A5" w:rsidRDefault="001655A5">
      <w:pPr>
        <w:spacing w:line="360" w:lineRule="auto"/>
        <w:rPr>
          <w:sz w:val="30"/>
          <w:szCs w:val="30"/>
        </w:rPr>
      </w:pPr>
    </w:p>
    <w:p w14:paraId="5D957517" w14:textId="77777777" w:rsidR="001655A5" w:rsidRDefault="001655A5">
      <w:pPr>
        <w:spacing w:line="360" w:lineRule="auto"/>
        <w:rPr>
          <w:sz w:val="20"/>
          <w:szCs w:val="20"/>
        </w:rPr>
      </w:pPr>
    </w:p>
    <w:p w14:paraId="49B9E15A" w14:textId="77777777" w:rsidR="001655A5" w:rsidRDefault="001655A5">
      <w:pPr>
        <w:spacing w:before="240" w:after="240" w:line="360" w:lineRule="auto"/>
        <w:ind w:left="600" w:right="600"/>
        <w:rPr>
          <w:sz w:val="20"/>
          <w:szCs w:val="20"/>
        </w:rPr>
      </w:pPr>
    </w:p>
    <w:p w14:paraId="7B07060B" w14:textId="77777777" w:rsidR="001655A5" w:rsidRDefault="001655A5">
      <w:pPr>
        <w:spacing w:before="240" w:after="240" w:line="360" w:lineRule="auto"/>
        <w:ind w:left="600" w:right="600"/>
        <w:rPr>
          <w:sz w:val="20"/>
          <w:szCs w:val="20"/>
        </w:rPr>
      </w:pPr>
    </w:p>
    <w:p w14:paraId="577FD7B8" w14:textId="77777777" w:rsidR="001655A5" w:rsidRDefault="001655A5">
      <w:pPr>
        <w:spacing w:before="240" w:after="240" w:line="360" w:lineRule="auto"/>
        <w:ind w:left="600" w:right="600"/>
        <w:rPr>
          <w:sz w:val="20"/>
          <w:szCs w:val="20"/>
        </w:rPr>
      </w:pPr>
    </w:p>
    <w:p w14:paraId="5E839445" w14:textId="77777777" w:rsidR="001655A5" w:rsidRDefault="001655A5">
      <w:pPr>
        <w:spacing w:before="240" w:after="240" w:line="360" w:lineRule="auto"/>
        <w:ind w:left="600" w:right="600"/>
        <w:rPr>
          <w:sz w:val="20"/>
          <w:szCs w:val="20"/>
        </w:rPr>
      </w:pPr>
    </w:p>
    <w:p w14:paraId="78DC0084" w14:textId="77777777" w:rsidR="001655A5" w:rsidRDefault="001655A5">
      <w:pPr>
        <w:spacing w:before="240" w:after="240" w:line="360" w:lineRule="auto"/>
        <w:ind w:left="600" w:right="600"/>
        <w:rPr>
          <w:sz w:val="20"/>
          <w:szCs w:val="20"/>
        </w:rPr>
      </w:pPr>
    </w:p>
    <w:p w14:paraId="2B0CC5E9" w14:textId="77777777" w:rsidR="001655A5" w:rsidRDefault="001655A5">
      <w:pPr>
        <w:spacing w:before="240" w:after="240" w:line="360" w:lineRule="auto"/>
        <w:ind w:left="600" w:right="600"/>
        <w:rPr>
          <w:sz w:val="20"/>
          <w:szCs w:val="20"/>
        </w:rPr>
      </w:pPr>
    </w:p>
    <w:p w14:paraId="24113C29" w14:textId="77777777" w:rsidR="001655A5" w:rsidRDefault="001655A5">
      <w:pPr>
        <w:spacing w:before="240" w:after="240" w:line="360" w:lineRule="auto"/>
        <w:ind w:left="600" w:right="600"/>
        <w:rPr>
          <w:sz w:val="20"/>
          <w:szCs w:val="20"/>
        </w:rPr>
      </w:pPr>
    </w:p>
    <w:p w14:paraId="443DB36E" w14:textId="77777777" w:rsidR="001655A5" w:rsidRDefault="001655A5">
      <w:pPr>
        <w:spacing w:before="240" w:after="240" w:line="360" w:lineRule="auto"/>
        <w:ind w:left="600" w:right="600"/>
        <w:rPr>
          <w:sz w:val="20"/>
          <w:szCs w:val="20"/>
        </w:rPr>
      </w:pPr>
    </w:p>
    <w:p w14:paraId="0E196831" w14:textId="77777777" w:rsidR="001655A5" w:rsidRDefault="001655A5">
      <w:pPr>
        <w:spacing w:before="240" w:after="240" w:line="360" w:lineRule="auto"/>
        <w:ind w:left="600" w:right="600"/>
        <w:rPr>
          <w:sz w:val="20"/>
          <w:szCs w:val="20"/>
        </w:rPr>
      </w:pPr>
    </w:p>
    <w:p w14:paraId="7FBEE27C" w14:textId="77777777" w:rsidR="001655A5" w:rsidRDefault="001655A5">
      <w:pPr>
        <w:spacing w:before="240" w:after="240" w:line="360" w:lineRule="auto"/>
        <w:ind w:left="600" w:right="600"/>
        <w:rPr>
          <w:sz w:val="20"/>
          <w:szCs w:val="20"/>
        </w:rPr>
      </w:pPr>
    </w:p>
    <w:p w14:paraId="5903A236" w14:textId="77777777" w:rsidR="001655A5" w:rsidRDefault="001655A5">
      <w:pPr>
        <w:spacing w:before="240" w:after="240" w:line="360" w:lineRule="auto"/>
        <w:ind w:left="600" w:right="600"/>
        <w:rPr>
          <w:sz w:val="20"/>
          <w:szCs w:val="20"/>
        </w:rPr>
      </w:pPr>
    </w:p>
    <w:p w14:paraId="7B72D27F" w14:textId="77777777" w:rsidR="001655A5" w:rsidRDefault="001655A5">
      <w:pPr>
        <w:spacing w:before="240" w:after="240" w:line="360" w:lineRule="auto"/>
        <w:ind w:left="600" w:right="600"/>
        <w:rPr>
          <w:sz w:val="20"/>
          <w:szCs w:val="20"/>
        </w:rPr>
      </w:pPr>
    </w:p>
    <w:p w14:paraId="7F024D04" w14:textId="77777777" w:rsidR="001655A5" w:rsidRDefault="001655A5">
      <w:pPr>
        <w:spacing w:before="240" w:after="240" w:line="360" w:lineRule="auto"/>
        <w:ind w:left="600" w:right="600"/>
        <w:rPr>
          <w:sz w:val="20"/>
          <w:szCs w:val="20"/>
        </w:rPr>
      </w:pPr>
    </w:p>
    <w:p w14:paraId="16518E76" w14:textId="77777777" w:rsidR="001655A5" w:rsidRDefault="001655A5">
      <w:pPr>
        <w:spacing w:before="240" w:after="240" w:line="360" w:lineRule="auto"/>
        <w:ind w:left="600" w:right="600"/>
        <w:rPr>
          <w:sz w:val="20"/>
          <w:szCs w:val="20"/>
        </w:rPr>
      </w:pPr>
    </w:p>
    <w:p w14:paraId="51D31005" w14:textId="77777777" w:rsidR="001655A5" w:rsidRDefault="001655A5">
      <w:pPr>
        <w:spacing w:before="240" w:after="240" w:line="360" w:lineRule="auto"/>
        <w:ind w:left="600" w:right="600"/>
        <w:rPr>
          <w:sz w:val="20"/>
          <w:szCs w:val="20"/>
        </w:rPr>
      </w:pPr>
    </w:p>
    <w:p w14:paraId="291A70C6" w14:textId="77777777" w:rsidR="001655A5" w:rsidRDefault="001655A5">
      <w:pPr>
        <w:spacing w:before="240" w:after="240" w:line="360" w:lineRule="auto"/>
        <w:ind w:left="600" w:right="600"/>
        <w:rPr>
          <w:sz w:val="20"/>
          <w:szCs w:val="20"/>
        </w:rPr>
      </w:pPr>
    </w:p>
    <w:p w14:paraId="7665376A" w14:textId="77777777" w:rsidR="001655A5" w:rsidRDefault="001655A5">
      <w:pPr>
        <w:spacing w:before="240" w:after="240" w:line="360" w:lineRule="auto"/>
        <w:ind w:left="600" w:right="600"/>
        <w:rPr>
          <w:sz w:val="20"/>
          <w:szCs w:val="20"/>
        </w:rPr>
      </w:pPr>
    </w:p>
    <w:p w14:paraId="240BD565" w14:textId="77777777" w:rsidR="001655A5" w:rsidRDefault="001655A5">
      <w:pPr>
        <w:spacing w:before="240" w:after="240" w:line="360" w:lineRule="auto"/>
        <w:ind w:left="600" w:right="600"/>
        <w:rPr>
          <w:sz w:val="20"/>
          <w:szCs w:val="20"/>
        </w:rPr>
      </w:pPr>
    </w:p>
    <w:p w14:paraId="75064F24" w14:textId="77777777" w:rsidR="001655A5" w:rsidRDefault="001655A5">
      <w:pPr>
        <w:spacing w:before="240" w:after="240" w:line="360" w:lineRule="auto"/>
        <w:ind w:left="600" w:right="600"/>
        <w:rPr>
          <w:sz w:val="20"/>
          <w:szCs w:val="20"/>
        </w:rPr>
      </w:pPr>
    </w:p>
    <w:p w14:paraId="0E1714E9" w14:textId="77777777" w:rsidR="001655A5" w:rsidRDefault="001655A5">
      <w:pPr>
        <w:spacing w:before="240" w:after="240" w:line="360" w:lineRule="auto"/>
        <w:ind w:right="600"/>
        <w:rPr>
          <w:sz w:val="20"/>
          <w:szCs w:val="20"/>
        </w:rPr>
      </w:pPr>
    </w:p>
    <w:p w14:paraId="2689F9CD" w14:textId="77777777" w:rsidR="001655A5" w:rsidRDefault="001655A5">
      <w:pPr>
        <w:spacing w:before="240" w:after="240" w:line="360" w:lineRule="auto"/>
        <w:ind w:left="600" w:right="600"/>
        <w:rPr>
          <w:sz w:val="20"/>
          <w:szCs w:val="20"/>
        </w:rPr>
      </w:pPr>
    </w:p>
    <w:p w14:paraId="1640E812" w14:textId="77777777" w:rsidR="001655A5" w:rsidRDefault="00502495">
      <w:pPr>
        <w:spacing w:before="240" w:after="240" w:line="360" w:lineRule="auto"/>
        <w:ind w:left="600" w:right="600"/>
        <w:rPr>
          <w:sz w:val="20"/>
          <w:szCs w:val="20"/>
          <w:u w:val="single"/>
        </w:rPr>
      </w:pPr>
      <w:r>
        <w:rPr>
          <w:sz w:val="20"/>
          <w:szCs w:val="20"/>
          <w:u w:val="single"/>
        </w:rPr>
        <w:t>Rudolf Steiner, over zichzelf als negenjarige jongen:</w:t>
      </w:r>
    </w:p>
    <w:p w14:paraId="5313AFAA" w14:textId="77777777" w:rsidR="001655A5" w:rsidRDefault="00502495">
      <w:pPr>
        <w:spacing w:before="240" w:after="240" w:line="360" w:lineRule="auto"/>
        <w:ind w:left="600" w:right="600"/>
        <w:rPr>
          <w:sz w:val="20"/>
          <w:szCs w:val="20"/>
        </w:rPr>
      </w:pPr>
      <w:r>
        <w:rPr>
          <w:sz w:val="20"/>
          <w:szCs w:val="20"/>
        </w:rPr>
        <w:t xml:space="preserve">“[...] auch da war es wieder so, dass ich voller Fragen was, die ich unbeantwortet mit mir herumtragen musste. Ja, diese Fragen über alles Mögliche machten mich als Knaben recht einsam. [...] denn ich wollte vor allem durch die </w:t>
      </w:r>
      <w:r>
        <w:rPr>
          <w:i/>
          <w:sz w:val="20"/>
          <w:szCs w:val="20"/>
        </w:rPr>
        <w:t>Kritik der reinen Vernunft</w:t>
      </w:r>
      <w:r>
        <w:rPr>
          <w:sz w:val="20"/>
          <w:szCs w:val="20"/>
        </w:rPr>
        <w:t xml:space="preserve"> festen Anhaltspunkt gewinnen, um mit dem eigenen Denken zurechtzukommen."  (Boettger, 2022, p. 134)</w:t>
      </w:r>
    </w:p>
    <w:p w14:paraId="3546DE48" w14:textId="77777777" w:rsidR="001655A5" w:rsidRDefault="001655A5">
      <w:pPr>
        <w:spacing w:before="240" w:after="240" w:line="360" w:lineRule="auto"/>
        <w:ind w:left="600" w:right="600"/>
        <w:rPr>
          <w:sz w:val="20"/>
          <w:szCs w:val="20"/>
        </w:rPr>
      </w:pPr>
    </w:p>
    <w:p w14:paraId="7ACA3B9B" w14:textId="77777777" w:rsidR="001655A5" w:rsidRDefault="001655A5">
      <w:pPr>
        <w:spacing w:before="240" w:after="240" w:line="360" w:lineRule="auto"/>
        <w:ind w:left="600" w:right="600"/>
        <w:rPr>
          <w:sz w:val="20"/>
          <w:szCs w:val="20"/>
        </w:rPr>
      </w:pPr>
    </w:p>
    <w:p w14:paraId="3B5DA624" w14:textId="77777777" w:rsidR="001655A5" w:rsidRDefault="00502495">
      <w:pPr>
        <w:spacing w:before="240" w:after="240" w:line="360" w:lineRule="auto"/>
        <w:ind w:left="600" w:right="600"/>
        <w:rPr>
          <w:sz w:val="20"/>
          <w:szCs w:val="20"/>
        </w:rPr>
      </w:pPr>
      <w:r>
        <w:rPr>
          <w:sz w:val="20"/>
          <w:szCs w:val="20"/>
        </w:rPr>
        <w:t xml:space="preserve">“[...] ook toen was het weer zo dat ik vol vragen zat, die ik onbeantwoord met me mee moest dragen. Ja, die vragen over van alles en nog wat maakten mij als jongen behoorlijk eenzaam. [...] want ik wilde vooral via de </w:t>
      </w:r>
      <w:r>
        <w:rPr>
          <w:i/>
          <w:sz w:val="20"/>
          <w:szCs w:val="20"/>
        </w:rPr>
        <w:t>Kritiek van de zuivere rede</w:t>
      </w:r>
      <w:r>
        <w:rPr>
          <w:sz w:val="20"/>
          <w:szCs w:val="20"/>
        </w:rPr>
        <w:t xml:space="preserve"> houvast krijgen om met mijn eigen denken om te kunnen gaan. “</w:t>
      </w:r>
      <w:r>
        <w:rPr>
          <w:sz w:val="20"/>
          <w:szCs w:val="20"/>
        </w:rPr>
        <w:br/>
        <w:t>(eigen vertaling, Boettger, 2022)</w:t>
      </w:r>
      <w:r>
        <w:rPr>
          <w:sz w:val="20"/>
          <w:szCs w:val="20"/>
        </w:rPr>
        <w:br/>
      </w:r>
    </w:p>
    <w:p w14:paraId="12BB7E3C" w14:textId="77777777" w:rsidR="001655A5" w:rsidRDefault="00502495">
      <w:pPr>
        <w:spacing w:before="240" w:after="240" w:line="360" w:lineRule="auto"/>
        <w:ind w:right="600"/>
        <w:rPr>
          <w:sz w:val="20"/>
          <w:szCs w:val="20"/>
        </w:rPr>
      </w:pPr>
      <w:r>
        <w:rPr>
          <w:sz w:val="20"/>
          <w:szCs w:val="20"/>
        </w:rPr>
        <w:br/>
      </w:r>
    </w:p>
    <w:p w14:paraId="3DE67E64" w14:textId="77777777" w:rsidR="001655A5" w:rsidRDefault="001655A5">
      <w:pPr>
        <w:spacing w:line="360" w:lineRule="auto"/>
        <w:rPr>
          <w:sz w:val="20"/>
          <w:szCs w:val="20"/>
        </w:rPr>
      </w:pPr>
    </w:p>
    <w:p w14:paraId="4E8B9DD1" w14:textId="77777777" w:rsidR="001655A5" w:rsidRDefault="001655A5">
      <w:pPr>
        <w:spacing w:before="240" w:after="240" w:line="360" w:lineRule="auto"/>
        <w:rPr>
          <w:sz w:val="20"/>
          <w:szCs w:val="20"/>
        </w:rPr>
      </w:pPr>
    </w:p>
    <w:p w14:paraId="5D322C72" w14:textId="77777777" w:rsidR="001655A5" w:rsidRDefault="001655A5">
      <w:pPr>
        <w:spacing w:before="240" w:after="240" w:line="360" w:lineRule="auto"/>
        <w:rPr>
          <w:sz w:val="20"/>
          <w:szCs w:val="20"/>
        </w:rPr>
      </w:pPr>
    </w:p>
    <w:p w14:paraId="68E0033A" w14:textId="77777777" w:rsidR="001655A5" w:rsidRDefault="001655A5">
      <w:pPr>
        <w:spacing w:before="240" w:after="240" w:line="360" w:lineRule="auto"/>
        <w:rPr>
          <w:sz w:val="20"/>
          <w:szCs w:val="20"/>
        </w:rPr>
      </w:pPr>
    </w:p>
    <w:p w14:paraId="74E8C4E6" w14:textId="77777777" w:rsidR="001655A5" w:rsidRDefault="001655A5">
      <w:pPr>
        <w:spacing w:before="240" w:after="240" w:line="360" w:lineRule="auto"/>
        <w:rPr>
          <w:sz w:val="20"/>
          <w:szCs w:val="20"/>
        </w:rPr>
      </w:pPr>
    </w:p>
    <w:p w14:paraId="20D69CEC" w14:textId="77777777" w:rsidR="001655A5" w:rsidRDefault="001655A5">
      <w:pPr>
        <w:spacing w:before="240" w:after="240" w:line="360" w:lineRule="auto"/>
        <w:rPr>
          <w:sz w:val="20"/>
          <w:szCs w:val="20"/>
        </w:rPr>
      </w:pPr>
    </w:p>
    <w:p w14:paraId="644EDCD4" w14:textId="77777777" w:rsidR="001655A5" w:rsidRDefault="00502495">
      <w:pPr>
        <w:pStyle w:val="Kop2"/>
      </w:pPr>
      <w:bookmarkStart w:id="0" w:name="_heading=h.2p5mryd4xi3o" w:colFirst="0" w:colLast="0"/>
      <w:bookmarkEnd w:id="0"/>
      <w:r>
        <w:t xml:space="preserve">Visie </w:t>
      </w:r>
    </w:p>
    <w:p w14:paraId="407A9BB7" w14:textId="77777777" w:rsidR="001655A5" w:rsidRDefault="001655A5">
      <w:pPr>
        <w:spacing w:line="360" w:lineRule="auto"/>
        <w:rPr>
          <w:sz w:val="20"/>
          <w:szCs w:val="20"/>
        </w:rPr>
      </w:pPr>
    </w:p>
    <w:p w14:paraId="3AB48822" w14:textId="77777777" w:rsidR="001655A5" w:rsidRDefault="00502495">
      <w:pPr>
        <w:rPr>
          <w:sz w:val="20"/>
          <w:szCs w:val="20"/>
        </w:rPr>
      </w:pPr>
      <w:r>
        <w:rPr>
          <w:sz w:val="20"/>
          <w:szCs w:val="20"/>
        </w:rPr>
        <w:t>Rudolf Steiner had voor ogen dat de vrijeschool een plek is voor alle kinderen, en waar passende uitdaging en ondersteuning wordt geboden die ten goede komt voor de gehele ontwikkeling van het kind (Boettger, 2022).</w:t>
      </w:r>
      <w:r>
        <w:rPr>
          <w:sz w:val="20"/>
          <w:szCs w:val="20"/>
        </w:rPr>
        <w:br/>
        <w:t>De Vrije School Den Haag streeft naar inclusief onderwijs waarbij alle leerlingen zich ononderbroken kunnen ontwikkelen op de gebieden van het denken, voelen en willen. Het onderwijs is gericht op een brede en evenwichtige ontwikkeling en persoonsvorming. De vrijeschool wil leerlingen opvoeden tot vrije mensen, met een eigen kritische blik, die verantwoordelijkheid kunnen nemen voor hun keuzes, en zichzelf in de wereld verder kunnen ontplooien (Petrash, 2002).</w:t>
      </w:r>
    </w:p>
    <w:p w14:paraId="3AD75339" w14:textId="77777777" w:rsidR="001655A5" w:rsidRDefault="00502495">
      <w:pPr>
        <w:rPr>
          <w:sz w:val="20"/>
          <w:szCs w:val="20"/>
        </w:rPr>
      </w:pPr>
      <w:r>
        <w:rPr>
          <w:sz w:val="20"/>
          <w:szCs w:val="20"/>
        </w:rPr>
        <w:t xml:space="preserve">De visie van de vrijeschool op wat goed onderwijs is sluit sterk aan op de visie van Biesta's (2015) zijn drie thema’s: kwalificatie (bekwaam worden in kennis en vaardigheden voor later beroep), socialisatie (deel kunnen nemen aan de samenleving) en subjectwording (hoe je in de wereld komt te staan) (Mayo, 2015). </w:t>
      </w:r>
    </w:p>
    <w:p w14:paraId="71A0877F" w14:textId="77777777" w:rsidR="001655A5" w:rsidRDefault="001655A5">
      <w:pPr>
        <w:rPr>
          <w:sz w:val="20"/>
          <w:szCs w:val="20"/>
        </w:rPr>
      </w:pPr>
    </w:p>
    <w:p w14:paraId="367B1284" w14:textId="77777777" w:rsidR="001655A5" w:rsidRDefault="00502495">
      <w:pPr>
        <w:rPr>
          <w:sz w:val="20"/>
          <w:szCs w:val="20"/>
        </w:rPr>
      </w:pPr>
      <w:r>
        <w:rPr>
          <w:sz w:val="20"/>
          <w:szCs w:val="20"/>
        </w:rPr>
        <w:t xml:space="preserve">Omdat we leerlingen niet alleen via het hoofd willen kwalificeren voor het beroepsleven, maar ook waarde hechten aan het socialisatieproces: in verbinding kunnen zijn met diverse mensen en kunnen functioneren in de samenleving als geheel, kiest de school ervoor om alle leerlingen tot ontwikkeling te laten komen in zijn of haar eigen klas. Leerlingen met verschillende talenten en mogelijkheden ontwikkelen zich meerdere jaren bij en met elkaar (Boettger, 2022). Hierbij geldt dat leerlingen met kenmerken van (hoog)begaafdheid binnen zijn of haar eigen klas onderwijs volgen, en aanpassingen en ondersteuning per individu op maat aangeboden krijgen. </w:t>
      </w:r>
    </w:p>
    <w:p w14:paraId="2A8223B4" w14:textId="77777777" w:rsidR="001655A5" w:rsidRDefault="001655A5">
      <w:pPr>
        <w:rPr>
          <w:sz w:val="20"/>
          <w:szCs w:val="20"/>
        </w:rPr>
      </w:pPr>
    </w:p>
    <w:p w14:paraId="5DA06A62" w14:textId="77777777" w:rsidR="001655A5" w:rsidRDefault="00502495">
      <w:pPr>
        <w:rPr>
          <w:sz w:val="20"/>
          <w:szCs w:val="20"/>
        </w:rPr>
      </w:pPr>
      <w:r>
        <w:rPr>
          <w:sz w:val="20"/>
          <w:szCs w:val="20"/>
        </w:rPr>
        <w:t>De afgelopen eeuw is het beeld van wat hoogbegaafdheid is veel veranderd (Dai, 2018). Tot op de dag van vandaag is er geen stellige definitie van wat hoogbegaafdheid is. Er zijn verschillende modellen waarin onderzoekers zichtbaar maken waardoor hoogbegaafd gedrag zich kan uiten (Renzulli - drie ringenmodel 1978; Sternberg - Triarchisch Model 2000), welke katalysatoren er nodig zijn om tot talentontwikkeling te komen (Gagné - Differentiatiemodel 2018; Ziegler &amp; Heller - Multifactorenmodel 2000) en dat hoogbegaafdheid meer is dan alleen succesvol presteren (Dabrowski - Overexcitabilities 1977; Kieboom - Zijnsluik 2015).</w:t>
      </w:r>
      <w:r>
        <w:rPr>
          <w:sz w:val="20"/>
          <w:szCs w:val="20"/>
        </w:rPr>
        <w:br/>
      </w:r>
      <w:r>
        <w:rPr>
          <w:sz w:val="20"/>
          <w:szCs w:val="20"/>
        </w:rPr>
        <w:br/>
        <w:t xml:space="preserve">Wij willen de leerling niet alleen aanspreken op zijn of haar mogelijk hoge intelligentie maar als mens in zijn of haar totaliteit. </w:t>
      </w:r>
    </w:p>
    <w:p w14:paraId="6E1E2211" w14:textId="77777777" w:rsidR="001655A5" w:rsidRDefault="001655A5">
      <w:pPr>
        <w:rPr>
          <w:sz w:val="20"/>
          <w:szCs w:val="20"/>
        </w:rPr>
      </w:pPr>
    </w:p>
    <w:p w14:paraId="150DD8AB" w14:textId="77777777" w:rsidR="001655A5" w:rsidRDefault="001655A5">
      <w:pPr>
        <w:spacing w:line="360" w:lineRule="auto"/>
        <w:rPr>
          <w:sz w:val="20"/>
          <w:szCs w:val="20"/>
        </w:rPr>
      </w:pPr>
    </w:p>
    <w:p w14:paraId="4F3DE093" w14:textId="77777777" w:rsidR="001655A5" w:rsidRDefault="001655A5">
      <w:pPr>
        <w:spacing w:line="360" w:lineRule="auto"/>
        <w:rPr>
          <w:sz w:val="20"/>
          <w:szCs w:val="20"/>
        </w:rPr>
      </w:pPr>
    </w:p>
    <w:p w14:paraId="13DD5A0C" w14:textId="77777777" w:rsidR="001655A5" w:rsidRDefault="001655A5">
      <w:pPr>
        <w:spacing w:line="360" w:lineRule="auto"/>
        <w:rPr>
          <w:sz w:val="20"/>
          <w:szCs w:val="20"/>
        </w:rPr>
      </w:pPr>
    </w:p>
    <w:p w14:paraId="2DD42E64" w14:textId="77777777" w:rsidR="001655A5" w:rsidRDefault="001655A5">
      <w:pPr>
        <w:spacing w:line="360" w:lineRule="auto"/>
        <w:rPr>
          <w:sz w:val="20"/>
          <w:szCs w:val="20"/>
        </w:rPr>
      </w:pPr>
    </w:p>
    <w:p w14:paraId="4004765D" w14:textId="77777777" w:rsidR="001655A5" w:rsidRDefault="001655A5">
      <w:pPr>
        <w:spacing w:line="360" w:lineRule="auto"/>
        <w:rPr>
          <w:sz w:val="20"/>
          <w:szCs w:val="20"/>
        </w:rPr>
      </w:pPr>
    </w:p>
    <w:p w14:paraId="063DA4EE" w14:textId="77777777" w:rsidR="001655A5" w:rsidRDefault="001655A5">
      <w:pPr>
        <w:spacing w:line="360" w:lineRule="auto"/>
        <w:rPr>
          <w:sz w:val="20"/>
          <w:szCs w:val="20"/>
        </w:rPr>
      </w:pPr>
    </w:p>
    <w:p w14:paraId="05ECFB75" w14:textId="77777777" w:rsidR="001655A5" w:rsidRDefault="001655A5">
      <w:pPr>
        <w:spacing w:line="360" w:lineRule="auto"/>
        <w:rPr>
          <w:sz w:val="20"/>
          <w:szCs w:val="20"/>
        </w:rPr>
      </w:pPr>
    </w:p>
    <w:p w14:paraId="6F77656F" w14:textId="77777777" w:rsidR="001655A5" w:rsidRDefault="001655A5">
      <w:pPr>
        <w:spacing w:line="360" w:lineRule="auto"/>
        <w:rPr>
          <w:sz w:val="20"/>
          <w:szCs w:val="20"/>
        </w:rPr>
      </w:pPr>
    </w:p>
    <w:p w14:paraId="5C7D3F0A" w14:textId="77777777" w:rsidR="001655A5" w:rsidRDefault="001655A5">
      <w:pPr>
        <w:spacing w:line="360" w:lineRule="auto"/>
        <w:rPr>
          <w:sz w:val="20"/>
          <w:szCs w:val="20"/>
        </w:rPr>
      </w:pPr>
    </w:p>
    <w:p w14:paraId="4BE83B7F" w14:textId="77777777" w:rsidR="001655A5" w:rsidRDefault="00502495">
      <w:pPr>
        <w:pStyle w:val="Kop2"/>
      </w:pPr>
      <w:bookmarkStart w:id="1" w:name="_heading=h.io5kmwwa79fs" w:colFirst="0" w:colLast="0"/>
      <w:bookmarkEnd w:id="1"/>
      <w:r>
        <w:lastRenderedPageBreak/>
        <w:t>Onderwijsmodel vrijeschool</w:t>
      </w:r>
    </w:p>
    <w:p w14:paraId="273F6150" w14:textId="77777777" w:rsidR="001655A5" w:rsidRDefault="00502495">
      <w:pPr>
        <w:spacing w:line="360" w:lineRule="auto"/>
        <w:rPr>
          <w:sz w:val="20"/>
          <w:szCs w:val="20"/>
        </w:rPr>
      </w:pPr>
      <w:r>
        <w:rPr>
          <w:sz w:val="20"/>
          <w:szCs w:val="20"/>
        </w:rPr>
        <w:br/>
        <w:t>Het onderwijsmodel van de vrijeschool bevat drie onderdelen die de ontwikkeling van leerlingen met kenmerken van (hoog)begaafdheid ondersteunen (Boettger, 2022).</w:t>
      </w:r>
    </w:p>
    <w:p w14:paraId="4584FC4D" w14:textId="77777777" w:rsidR="001655A5" w:rsidRDefault="001655A5">
      <w:pPr>
        <w:spacing w:line="360" w:lineRule="auto"/>
        <w:rPr>
          <w:sz w:val="20"/>
          <w:szCs w:val="20"/>
          <w:u w:val="single"/>
        </w:rPr>
      </w:pPr>
    </w:p>
    <w:p w14:paraId="19CFDF55" w14:textId="77777777" w:rsidR="001655A5" w:rsidRDefault="00502495">
      <w:pPr>
        <w:pStyle w:val="Kop4"/>
        <w:rPr>
          <w:color w:val="000000"/>
          <w:sz w:val="20"/>
          <w:szCs w:val="20"/>
        </w:rPr>
      </w:pPr>
      <w:r>
        <w:rPr>
          <w:color w:val="000000"/>
          <w:sz w:val="20"/>
          <w:szCs w:val="20"/>
          <w:u w:val="single"/>
        </w:rPr>
        <w:t>Periodeonderwijs</w:t>
      </w:r>
      <w:r>
        <w:rPr>
          <w:color w:val="000000"/>
        </w:rPr>
        <w:br/>
      </w:r>
      <w:r>
        <w:rPr>
          <w:color w:val="000000"/>
        </w:rPr>
        <w:br/>
      </w:r>
      <w:r>
        <w:rPr>
          <w:color w:val="000000"/>
          <w:sz w:val="20"/>
          <w:szCs w:val="20"/>
        </w:rPr>
        <w:t>Het hele schooljaar wordt er periodeonderwijs gegeven. De leerlingen verdiepen zich elke ochtend drie weken achter elkaar in één thema waardoor er een sterke binding ontstaat met het vak en een goede relatie kan ontstaan met de leerkracht. De leraar kan de leerling goed volgen en differentiëren in de didactiek en pedagogiek waar nodig. Deze weken bieden uitstekend de mogelijkheid tot verdieping, complexe vraagstukken en onderzoek naar eigen interesses (Snikkers, 2018).</w:t>
      </w:r>
      <w:r>
        <w:rPr>
          <w:color w:val="000000"/>
          <w:sz w:val="20"/>
          <w:szCs w:val="20"/>
        </w:rPr>
        <w:br/>
        <w:t>Daarnaast zorgt het periodeonderwijs voor een breed onderwijsaanbod door de vele verschillende onderwerpen. Hierbij gaat het niet om enkel examen gerelateerde onderwerpen of uit het gekozen profiel, maar onderwerpen en thema’s die in dienst staan van algehele ontwikkeling van de leerling. Voorbeelden hiervan zijn filosofie, sterrenkunde, huizenbouw en de parcifal periode.</w:t>
      </w:r>
    </w:p>
    <w:p w14:paraId="56B76CAF" w14:textId="77777777" w:rsidR="001655A5" w:rsidRDefault="00502495">
      <w:pPr>
        <w:rPr>
          <w:sz w:val="20"/>
          <w:szCs w:val="20"/>
        </w:rPr>
      </w:pPr>
      <w:r>
        <w:rPr>
          <w:sz w:val="20"/>
          <w:szCs w:val="20"/>
        </w:rPr>
        <w:t>Tijdens het periodeonderwijs verwerkt de leerling de stof in een eigen schrift op een eigen niveau. De leerling is vrij op een eigen creatieve manier de stof te verwerken. En de leraar en leerlingen houden samen het verwerkingsniveau in de gaten.</w:t>
      </w:r>
    </w:p>
    <w:p w14:paraId="55D1673D" w14:textId="77777777" w:rsidR="001655A5" w:rsidRDefault="00502495">
      <w:pPr>
        <w:rPr>
          <w:sz w:val="20"/>
          <w:szCs w:val="20"/>
        </w:rPr>
      </w:pPr>
      <w:r>
        <w:rPr>
          <w:sz w:val="20"/>
          <w:szCs w:val="20"/>
        </w:rPr>
        <w:t xml:space="preserve">Deze vorm van onderwijs sluit goed aan bij de onderwijsbehoefte van leerlingen met kenmerken van (hoog)begaafdheid. Little (2018) geeft aan dat leerlingen met kenmerken van (hoog)begaafdheid behoefte hebben aan meer diepgang en een complexere niveau van denken bij het leren. Omdat drie weken lang een thema centraal staat en leerlingen de stof op hun eigen niveau mogen verwerken, kunnen deze leerlingen zichzelf, of gestimuleerd door de leerkracht, meer uitdagen en verdiepende verwerkingsopdrachten krijgen met een hoger-niveau-vraagstelling. Er wordt beroep gedaan op creativiteit en probleemoplossend vermogen van leerlingen wanneer zij op een geheel eigen manier de stof gaan verwerken (Snikkers, 2018). </w:t>
      </w:r>
    </w:p>
    <w:p w14:paraId="5D727E0D" w14:textId="77777777" w:rsidR="001655A5" w:rsidRDefault="001655A5">
      <w:pPr>
        <w:spacing w:line="360" w:lineRule="auto"/>
        <w:rPr>
          <w:sz w:val="20"/>
          <w:szCs w:val="20"/>
        </w:rPr>
      </w:pPr>
    </w:p>
    <w:p w14:paraId="0C5AB256" w14:textId="77777777" w:rsidR="001655A5" w:rsidRDefault="00502495">
      <w:pPr>
        <w:spacing w:line="360" w:lineRule="auto"/>
        <w:rPr>
          <w:sz w:val="20"/>
          <w:szCs w:val="20"/>
          <w:u w:val="single"/>
        </w:rPr>
      </w:pPr>
      <w:r>
        <w:rPr>
          <w:sz w:val="20"/>
          <w:szCs w:val="20"/>
          <w:u w:val="single"/>
        </w:rPr>
        <w:t>Kunstvakken</w:t>
      </w:r>
      <w:r>
        <w:rPr>
          <w:sz w:val="20"/>
          <w:szCs w:val="20"/>
          <w:u w:val="single"/>
        </w:rPr>
        <w:br/>
      </w:r>
    </w:p>
    <w:p w14:paraId="0E783927" w14:textId="77777777" w:rsidR="001655A5" w:rsidRDefault="00502495">
      <w:pPr>
        <w:spacing w:before="240" w:after="240" w:line="360" w:lineRule="auto"/>
        <w:ind w:left="600" w:right="600"/>
        <w:rPr>
          <w:sz w:val="20"/>
          <w:szCs w:val="20"/>
        </w:rPr>
      </w:pPr>
      <w:r>
        <w:rPr>
          <w:sz w:val="20"/>
          <w:szCs w:val="20"/>
        </w:rPr>
        <w:t>“Waldorfscholen willen in gelijke mate intellectuele, creatieve, kunstzinnige, praktische en sociale vaardigheden bij kinderen en jongeren ontwikkelen. De Waldorfschool is een school voor alle soorten begaafdheid.” (eigen vertaling, Boettger, 2022)</w:t>
      </w:r>
    </w:p>
    <w:p w14:paraId="35355194" w14:textId="77777777" w:rsidR="001655A5" w:rsidRDefault="00502495">
      <w:pPr>
        <w:spacing w:line="360" w:lineRule="auto"/>
        <w:rPr>
          <w:sz w:val="18"/>
          <w:szCs w:val="18"/>
        </w:rPr>
      </w:pPr>
      <w:r>
        <w:rPr>
          <w:sz w:val="20"/>
          <w:szCs w:val="20"/>
        </w:rPr>
        <w:br/>
        <w:t xml:space="preserve">Tijdens de hele schoolcarrière nemen leerlingen deel aan een breed kunst curriculum. Ambachtelijke en beeldende vorming, muziek, euritmie en drama zijn hier onderdeel van. Naast dat dit de mogelijkheid creëert om talenten te ontdekken en ontwikkelen (Clark &amp; Zimmerman, 1998; Gangé 2018), draagt kunstonderwijs ook bij het stimuleren van emotionele ontwikkeling en betrokkenheid (Petrash, 2002) en het ontwikkelen van wilskracht (Snikkers, 2020). Volgens Dabrowski kunnen  leerlingen met kenmerken van (hoog)begaafdheid een hoge mate van verbeeldingskracht, gevoel voor esthetiek en een rijke emotionele binnenwereld hebben (Daniels &amp; Piechowski, 2019). Het ruime </w:t>
      </w:r>
      <w:r>
        <w:rPr>
          <w:sz w:val="20"/>
          <w:szCs w:val="20"/>
        </w:rPr>
        <w:lastRenderedPageBreak/>
        <w:t xml:space="preserve">aanbod aan kunstvakken geeft leerlingen de ruimte om vanuit eigen autonomie en creativiteit tot ontwikkeling en persoonsvorming te komen (Petrash, 2002). </w:t>
      </w:r>
    </w:p>
    <w:p w14:paraId="59876E62" w14:textId="77777777" w:rsidR="001655A5" w:rsidRDefault="001655A5">
      <w:pPr>
        <w:spacing w:line="360" w:lineRule="auto"/>
        <w:rPr>
          <w:sz w:val="20"/>
          <w:szCs w:val="20"/>
        </w:rPr>
      </w:pPr>
    </w:p>
    <w:p w14:paraId="3BA29AB7" w14:textId="77777777" w:rsidR="001655A5" w:rsidRDefault="001655A5">
      <w:pPr>
        <w:spacing w:line="360" w:lineRule="auto"/>
        <w:rPr>
          <w:sz w:val="20"/>
          <w:szCs w:val="20"/>
          <w:u w:val="single"/>
        </w:rPr>
      </w:pPr>
    </w:p>
    <w:p w14:paraId="681634A5" w14:textId="77777777" w:rsidR="001655A5" w:rsidRDefault="00502495">
      <w:pPr>
        <w:spacing w:line="360" w:lineRule="auto"/>
        <w:rPr>
          <w:sz w:val="20"/>
          <w:szCs w:val="20"/>
          <w:u w:val="single"/>
        </w:rPr>
      </w:pPr>
      <w:r>
        <w:rPr>
          <w:sz w:val="20"/>
          <w:szCs w:val="20"/>
          <w:u w:val="single"/>
        </w:rPr>
        <w:t>Vaste mentor in klas 7 en 8.</w:t>
      </w:r>
    </w:p>
    <w:p w14:paraId="36EE99CC" w14:textId="77777777" w:rsidR="001655A5" w:rsidRDefault="00502495">
      <w:pPr>
        <w:spacing w:line="360" w:lineRule="auto"/>
        <w:rPr>
          <w:sz w:val="20"/>
          <w:szCs w:val="20"/>
        </w:rPr>
      </w:pPr>
      <w:r>
        <w:rPr>
          <w:sz w:val="20"/>
          <w:szCs w:val="20"/>
        </w:rPr>
        <w:t xml:space="preserve">Doordat de eerste twee jaar vrijwel dagelijks contact is tussen de mentor en de klas krijgt de mentor een goed beeld van de ontwikkelingsbehoefte van de leerlingen. De mentor kan de leerling extra uitdaging en ondersteuning bieden waar nodig. Daarnaast is het mogelijk dat er een goede relatie tussen leerkracht en leerling ontstaat, wat bijdraagt aan het welzijn en motivatie voor schoolwerk. </w:t>
      </w:r>
    </w:p>
    <w:p w14:paraId="7A8F0A9C" w14:textId="77777777" w:rsidR="001655A5" w:rsidRDefault="001655A5">
      <w:pPr>
        <w:spacing w:line="360" w:lineRule="auto"/>
        <w:rPr>
          <w:sz w:val="20"/>
          <w:szCs w:val="20"/>
        </w:rPr>
      </w:pPr>
    </w:p>
    <w:p w14:paraId="5C970B44" w14:textId="77777777" w:rsidR="001655A5" w:rsidRDefault="001655A5">
      <w:pPr>
        <w:spacing w:line="360" w:lineRule="auto"/>
        <w:rPr>
          <w:sz w:val="20"/>
          <w:szCs w:val="20"/>
        </w:rPr>
      </w:pPr>
    </w:p>
    <w:p w14:paraId="29980EA4" w14:textId="77777777" w:rsidR="001655A5" w:rsidRDefault="001655A5">
      <w:pPr>
        <w:spacing w:line="360" w:lineRule="auto"/>
        <w:rPr>
          <w:sz w:val="20"/>
          <w:szCs w:val="20"/>
        </w:rPr>
      </w:pPr>
    </w:p>
    <w:p w14:paraId="49766260" w14:textId="77777777" w:rsidR="001655A5" w:rsidRDefault="001655A5">
      <w:pPr>
        <w:spacing w:line="360" w:lineRule="auto"/>
        <w:rPr>
          <w:sz w:val="30"/>
          <w:szCs w:val="30"/>
        </w:rPr>
      </w:pPr>
    </w:p>
    <w:p w14:paraId="5DA8CA93" w14:textId="77777777" w:rsidR="001655A5" w:rsidRDefault="001655A5">
      <w:pPr>
        <w:spacing w:line="360" w:lineRule="auto"/>
        <w:rPr>
          <w:sz w:val="30"/>
          <w:szCs w:val="30"/>
        </w:rPr>
      </w:pPr>
    </w:p>
    <w:p w14:paraId="2F70511B" w14:textId="77777777" w:rsidR="001655A5" w:rsidRDefault="001655A5">
      <w:pPr>
        <w:spacing w:line="360" w:lineRule="auto"/>
        <w:rPr>
          <w:sz w:val="30"/>
          <w:szCs w:val="30"/>
        </w:rPr>
      </w:pPr>
    </w:p>
    <w:p w14:paraId="02E43B46" w14:textId="77777777" w:rsidR="001655A5" w:rsidRDefault="001655A5">
      <w:pPr>
        <w:spacing w:line="360" w:lineRule="auto"/>
        <w:rPr>
          <w:sz w:val="30"/>
          <w:szCs w:val="30"/>
        </w:rPr>
      </w:pPr>
    </w:p>
    <w:p w14:paraId="08C2A454" w14:textId="77777777" w:rsidR="001655A5" w:rsidRDefault="001655A5">
      <w:pPr>
        <w:spacing w:line="360" w:lineRule="auto"/>
        <w:rPr>
          <w:sz w:val="30"/>
          <w:szCs w:val="30"/>
        </w:rPr>
      </w:pPr>
    </w:p>
    <w:p w14:paraId="2E26F154" w14:textId="77777777" w:rsidR="001655A5" w:rsidRDefault="001655A5">
      <w:pPr>
        <w:spacing w:line="360" w:lineRule="auto"/>
        <w:rPr>
          <w:sz w:val="30"/>
          <w:szCs w:val="30"/>
        </w:rPr>
      </w:pPr>
    </w:p>
    <w:p w14:paraId="2704E093" w14:textId="77777777" w:rsidR="001655A5" w:rsidRDefault="001655A5">
      <w:pPr>
        <w:spacing w:line="360" w:lineRule="auto"/>
        <w:rPr>
          <w:sz w:val="30"/>
          <w:szCs w:val="30"/>
        </w:rPr>
      </w:pPr>
    </w:p>
    <w:p w14:paraId="0128336C" w14:textId="77777777" w:rsidR="001655A5" w:rsidRDefault="001655A5">
      <w:pPr>
        <w:spacing w:line="360" w:lineRule="auto"/>
        <w:rPr>
          <w:sz w:val="30"/>
          <w:szCs w:val="30"/>
        </w:rPr>
      </w:pPr>
    </w:p>
    <w:p w14:paraId="7E49610D" w14:textId="77777777" w:rsidR="001655A5" w:rsidRDefault="001655A5">
      <w:pPr>
        <w:spacing w:line="360" w:lineRule="auto"/>
        <w:rPr>
          <w:sz w:val="30"/>
          <w:szCs w:val="30"/>
        </w:rPr>
      </w:pPr>
    </w:p>
    <w:p w14:paraId="601D3BBA" w14:textId="77777777" w:rsidR="001655A5" w:rsidRDefault="001655A5">
      <w:pPr>
        <w:spacing w:line="360" w:lineRule="auto"/>
        <w:rPr>
          <w:sz w:val="30"/>
          <w:szCs w:val="30"/>
        </w:rPr>
      </w:pPr>
    </w:p>
    <w:p w14:paraId="5C892FE7" w14:textId="77777777" w:rsidR="001655A5" w:rsidRDefault="001655A5">
      <w:pPr>
        <w:spacing w:line="360" w:lineRule="auto"/>
        <w:rPr>
          <w:sz w:val="30"/>
          <w:szCs w:val="30"/>
        </w:rPr>
      </w:pPr>
    </w:p>
    <w:p w14:paraId="15FF88E3" w14:textId="77777777" w:rsidR="001655A5" w:rsidRDefault="001655A5">
      <w:pPr>
        <w:spacing w:line="360" w:lineRule="auto"/>
        <w:rPr>
          <w:sz w:val="30"/>
          <w:szCs w:val="30"/>
        </w:rPr>
      </w:pPr>
    </w:p>
    <w:p w14:paraId="07332963" w14:textId="77777777" w:rsidR="001655A5" w:rsidRDefault="001655A5">
      <w:pPr>
        <w:spacing w:line="360" w:lineRule="auto"/>
        <w:rPr>
          <w:sz w:val="30"/>
          <w:szCs w:val="30"/>
        </w:rPr>
      </w:pPr>
    </w:p>
    <w:p w14:paraId="50C761ED" w14:textId="77777777" w:rsidR="001655A5" w:rsidRDefault="001655A5">
      <w:pPr>
        <w:spacing w:line="360" w:lineRule="auto"/>
        <w:rPr>
          <w:sz w:val="30"/>
          <w:szCs w:val="30"/>
        </w:rPr>
      </w:pPr>
    </w:p>
    <w:p w14:paraId="0C04AC53" w14:textId="77777777" w:rsidR="001655A5" w:rsidRDefault="001655A5">
      <w:pPr>
        <w:spacing w:line="360" w:lineRule="auto"/>
        <w:rPr>
          <w:sz w:val="30"/>
          <w:szCs w:val="30"/>
        </w:rPr>
      </w:pPr>
    </w:p>
    <w:p w14:paraId="2A539CDB" w14:textId="77777777" w:rsidR="001655A5" w:rsidRDefault="001655A5">
      <w:pPr>
        <w:spacing w:line="360" w:lineRule="auto"/>
        <w:rPr>
          <w:sz w:val="30"/>
          <w:szCs w:val="30"/>
        </w:rPr>
      </w:pPr>
    </w:p>
    <w:p w14:paraId="64B559F1" w14:textId="77777777" w:rsidR="001655A5" w:rsidRDefault="001655A5">
      <w:pPr>
        <w:spacing w:line="360" w:lineRule="auto"/>
        <w:rPr>
          <w:sz w:val="30"/>
          <w:szCs w:val="30"/>
        </w:rPr>
      </w:pPr>
    </w:p>
    <w:p w14:paraId="1C487155" w14:textId="77777777" w:rsidR="001655A5" w:rsidRDefault="00502495">
      <w:pPr>
        <w:pStyle w:val="Kop2"/>
        <w:rPr>
          <w:sz w:val="20"/>
          <w:szCs w:val="20"/>
        </w:rPr>
      </w:pPr>
      <w:bookmarkStart w:id="2" w:name="_heading=h.pp95w0uy21n2" w:colFirst="0" w:colLast="0"/>
      <w:bookmarkEnd w:id="2"/>
      <w:r>
        <w:lastRenderedPageBreak/>
        <w:t>Signaleren</w:t>
      </w:r>
    </w:p>
    <w:p w14:paraId="22308A3F" w14:textId="77777777" w:rsidR="001655A5" w:rsidRDefault="00502495">
      <w:pPr>
        <w:spacing w:line="360" w:lineRule="auto"/>
        <w:rPr>
          <w:sz w:val="20"/>
          <w:szCs w:val="20"/>
        </w:rPr>
      </w:pPr>
      <w:r>
        <w:rPr>
          <w:sz w:val="20"/>
          <w:szCs w:val="20"/>
        </w:rPr>
        <w:t>Wanneer we signaleren, stellen we de onderwijsbehoefte van de leerling centraal.</w:t>
      </w:r>
    </w:p>
    <w:p w14:paraId="3B34477D" w14:textId="77777777" w:rsidR="001655A5" w:rsidRDefault="00502495">
      <w:pPr>
        <w:spacing w:line="360" w:lineRule="auto"/>
        <w:rPr>
          <w:sz w:val="20"/>
          <w:szCs w:val="20"/>
        </w:rPr>
      </w:pPr>
      <w:r>
        <w:rPr>
          <w:sz w:val="20"/>
          <w:szCs w:val="20"/>
        </w:rPr>
        <w:br/>
        <w:t xml:space="preserve">Bij de overgang van de onderbouw naar de brugklas worden er gesprekken gevoerd met de nieuwe leerlingen, mentor, ouders en waar nodig de hoogbegaafdheidsspecialist. </w:t>
      </w:r>
      <w:r>
        <w:rPr>
          <w:sz w:val="20"/>
          <w:szCs w:val="20"/>
        </w:rPr>
        <w:br/>
        <w:t>In deze gesprekken komen verschillende onderwerpen naar voren, waaronder welke ondersteuning en uitdaging de leerling al heeft gehad en op dat moment nodig heeft. De uitkomsten van deze gesprekken worden opgenomen in het leerlingvolgsysteem van magister.</w:t>
      </w:r>
      <w:r>
        <w:rPr>
          <w:sz w:val="20"/>
          <w:szCs w:val="20"/>
        </w:rPr>
        <w:br/>
        <w:t>Middenbouw mentoren hebben met ouders en leerlingen, twee keer per jaar, tien-minuten gesprekken en zo nodig extra ingeplande gesprekken, en houden zo een vinger aan de pols. Daarnaast spreekt de mentor de leerling met enige regelmaat tijdens schooltijd.</w:t>
      </w:r>
    </w:p>
    <w:p w14:paraId="5FA74D84" w14:textId="77777777" w:rsidR="001655A5" w:rsidRDefault="001655A5">
      <w:pPr>
        <w:spacing w:line="360" w:lineRule="auto"/>
        <w:rPr>
          <w:sz w:val="20"/>
          <w:szCs w:val="20"/>
        </w:rPr>
      </w:pPr>
    </w:p>
    <w:p w14:paraId="3055A941" w14:textId="77777777" w:rsidR="001655A5" w:rsidRDefault="00502495">
      <w:pPr>
        <w:spacing w:line="360" w:lineRule="auto"/>
        <w:rPr>
          <w:sz w:val="20"/>
          <w:szCs w:val="20"/>
        </w:rPr>
      </w:pPr>
      <w:r>
        <w:rPr>
          <w:sz w:val="20"/>
          <w:szCs w:val="20"/>
        </w:rPr>
        <w:t>De mentoren van klas 7 en 8 hebben een goed beeld van de klas en individuele leerlingen. Doordat de mentor de klas vrijwel dagelijks ziet, is de mentor in staat te signaleren wanneer er mogelijk een gat ontstaat tussen de onderwijsbehoefte en het onderwijsaanbod. Dit vraagt om alertheid, geduld en creativiteit van de leerkracht (Snikkers, 2018).</w:t>
      </w:r>
      <w:r>
        <w:rPr>
          <w:sz w:val="20"/>
          <w:szCs w:val="20"/>
        </w:rPr>
        <w:br/>
        <w:t>De leerkracht kan, wanneer nodig (eventueel in samenspraak met de hoogbegaafdheidsspecialist), aanpassingen maken zodat er weer aansluiting met het onderwijs kan worden gevonden.</w:t>
      </w:r>
    </w:p>
    <w:p w14:paraId="614AF675" w14:textId="77777777" w:rsidR="001655A5" w:rsidRDefault="001655A5">
      <w:pPr>
        <w:spacing w:line="360" w:lineRule="auto"/>
        <w:rPr>
          <w:sz w:val="20"/>
          <w:szCs w:val="20"/>
        </w:rPr>
      </w:pPr>
    </w:p>
    <w:p w14:paraId="13DDCA29" w14:textId="77777777" w:rsidR="001655A5" w:rsidRDefault="00502495">
      <w:pPr>
        <w:spacing w:line="360" w:lineRule="auto"/>
        <w:rPr>
          <w:sz w:val="20"/>
          <w:szCs w:val="20"/>
        </w:rPr>
      </w:pPr>
      <w:r>
        <w:rPr>
          <w:sz w:val="20"/>
          <w:szCs w:val="20"/>
        </w:rPr>
        <w:t>Naast de mentoren kunnen de vakleerkrachten door waarneming en metingen kenmerken van hoogbegaafdheid signaleren en onderzoeken welke ondersteuningsbehoefte de leerling heeft.</w:t>
      </w:r>
      <w:r>
        <w:rPr>
          <w:sz w:val="20"/>
          <w:szCs w:val="20"/>
        </w:rPr>
        <w:br/>
      </w:r>
    </w:p>
    <w:p w14:paraId="3EA150B3" w14:textId="77777777" w:rsidR="001655A5" w:rsidRDefault="00502495">
      <w:pPr>
        <w:spacing w:line="360" w:lineRule="auto"/>
        <w:rPr>
          <w:sz w:val="20"/>
          <w:szCs w:val="20"/>
        </w:rPr>
      </w:pPr>
      <w:r>
        <w:rPr>
          <w:sz w:val="20"/>
          <w:szCs w:val="20"/>
        </w:rPr>
        <w:t xml:space="preserve">Tijdens vergaderingen worden klassen en leerlingen besproken wat een signaleermoment kan zijn. </w:t>
      </w:r>
    </w:p>
    <w:p w14:paraId="4DA1B9A5" w14:textId="77777777" w:rsidR="001655A5" w:rsidRDefault="001655A5">
      <w:pPr>
        <w:spacing w:line="360" w:lineRule="auto"/>
        <w:rPr>
          <w:sz w:val="20"/>
          <w:szCs w:val="20"/>
        </w:rPr>
      </w:pPr>
    </w:p>
    <w:p w14:paraId="505BC7E1" w14:textId="77777777" w:rsidR="001655A5" w:rsidRDefault="00502495">
      <w:pPr>
        <w:spacing w:line="360" w:lineRule="auto"/>
        <w:rPr>
          <w:sz w:val="20"/>
          <w:szCs w:val="20"/>
        </w:rPr>
      </w:pPr>
      <w:r>
        <w:rPr>
          <w:sz w:val="20"/>
          <w:szCs w:val="20"/>
        </w:rPr>
        <w:t xml:space="preserve">Het label ‘hoogbegaafdheid’ is niet nodig voor het maken van een pedagogisch en didactisch handelingsplan dat bij de onderwijsbehoefte van de leerling aansluit. Echter, wanneer ouders sterke vermoedens hebben dat hun kind kenmerken heeft van hoogbegaafdheid of de leerling een verklaring heeft, nodigen wij de ouders uit hierover met de mentor en/of hoogbegaafdheidsspecialist in gesprek te gaan om sneller onderwijs op maat te kunnen aanbieden. </w:t>
      </w:r>
    </w:p>
    <w:p w14:paraId="6C0FF3E1" w14:textId="77777777" w:rsidR="001655A5" w:rsidRDefault="00502495">
      <w:pPr>
        <w:spacing w:line="360" w:lineRule="auto"/>
        <w:rPr>
          <w:sz w:val="20"/>
          <w:szCs w:val="20"/>
        </w:rPr>
      </w:pPr>
      <w:r>
        <w:rPr>
          <w:sz w:val="20"/>
          <w:szCs w:val="20"/>
        </w:rPr>
        <w:t xml:space="preserve"> </w:t>
      </w:r>
    </w:p>
    <w:p w14:paraId="3B0BE338" w14:textId="77777777" w:rsidR="001655A5" w:rsidRDefault="00502495">
      <w:pPr>
        <w:spacing w:line="360" w:lineRule="auto"/>
        <w:rPr>
          <w:sz w:val="20"/>
          <w:szCs w:val="20"/>
        </w:rPr>
      </w:pPr>
      <w:r>
        <w:rPr>
          <w:sz w:val="20"/>
          <w:szCs w:val="20"/>
        </w:rPr>
        <w:t xml:space="preserve">Evalueren meetinstrument: CBO screening. 2024-2025 eerste jaar dat we dit doen in de 8ste. </w:t>
      </w:r>
      <w:r>
        <w:rPr>
          <w:sz w:val="20"/>
          <w:szCs w:val="20"/>
        </w:rPr>
        <w:br/>
        <w:t xml:space="preserve">Volgend schooljaar, begin 8ste of 7de? </w:t>
      </w:r>
    </w:p>
    <w:p w14:paraId="5218A526" w14:textId="77777777" w:rsidR="001655A5" w:rsidRDefault="001655A5">
      <w:pPr>
        <w:spacing w:line="360" w:lineRule="auto"/>
        <w:rPr>
          <w:sz w:val="20"/>
          <w:szCs w:val="20"/>
        </w:rPr>
      </w:pPr>
    </w:p>
    <w:p w14:paraId="1684796D" w14:textId="77777777" w:rsidR="001655A5" w:rsidRDefault="001655A5">
      <w:pPr>
        <w:spacing w:line="360" w:lineRule="auto"/>
        <w:rPr>
          <w:sz w:val="30"/>
          <w:szCs w:val="30"/>
        </w:rPr>
      </w:pPr>
    </w:p>
    <w:p w14:paraId="7332FD2C" w14:textId="77777777" w:rsidR="001655A5" w:rsidRDefault="001655A5">
      <w:pPr>
        <w:spacing w:line="360" w:lineRule="auto"/>
        <w:rPr>
          <w:sz w:val="30"/>
          <w:szCs w:val="30"/>
        </w:rPr>
      </w:pPr>
    </w:p>
    <w:p w14:paraId="06277221" w14:textId="77777777" w:rsidR="001655A5" w:rsidRDefault="001655A5">
      <w:pPr>
        <w:spacing w:line="360" w:lineRule="auto"/>
        <w:rPr>
          <w:sz w:val="30"/>
          <w:szCs w:val="30"/>
        </w:rPr>
      </w:pPr>
    </w:p>
    <w:p w14:paraId="32521A41" w14:textId="77777777" w:rsidR="001655A5" w:rsidRDefault="001655A5">
      <w:pPr>
        <w:spacing w:line="360" w:lineRule="auto"/>
        <w:rPr>
          <w:sz w:val="30"/>
          <w:szCs w:val="30"/>
        </w:rPr>
      </w:pPr>
    </w:p>
    <w:p w14:paraId="12C60748" w14:textId="77777777" w:rsidR="001655A5" w:rsidRDefault="00502495">
      <w:pPr>
        <w:pStyle w:val="Kop2"/>
      </w:pPr>
      <w:bookmarkStart w:id="3" w:name="_heading=h.sifnx7tvidrf" w:colFirst="0" w:colLast="0"/>
      <w:bookmarkEnd w:id="3"/>
      <w:r>
        <w:lastRenderedPageBreak/>
        <w:t>Differentiëren</w:t>
      </w:r>
    </w:p>
    <w:p w14:paraId="52121C90" w14:textId="77777777" w:rsidR="001655A5" w:rsidRDefault="001655A5">
      <w:pPr>
        <w:spacing w:line="360" w:lineRule="auto"/>
        <w:rPr>
          <w:sz w:val="20"/>
          <w:szCs w:val="20"/>
        </w:rPr>
      </w:pPr>
    </w:p>
    <w:p w14:paraId="1BDE9E20" w14:textId="77777777" w:rsidR="001655A5" w:rsidRDefault="00502495">
      <w:pPr>
        <w:spacing w:line="360" w:lineRule="auto"/>
        <w:rPr>
          <w:sz w:val="20"/>
          <w:szCs w:val="20"/>
        </w:rPr>
      </w:pPr>
      <w:r>
        <w:rPr>
          <w:sz w:val="20"/>
          <w:szCs w:val="20"/>
        </w:rPr>
        <w:t>Geen één leerling is hetzelfde. Dat geldt ook voor leerlingen met kenmerken van (hoog)begaafdheid. Het is daarom belangrijk om per individu te kijken wat hij of zij nodig heeft om tot ontwikkeling te komen (Snikkers, 2020; Bakx et al., 2021). Little (2018) beschrijft leerlingen met kenmerken van (hoog)begaafdheid als snel denkend, met een sterk geheugen en die met complexere materie aan de slag kunnen. Daarnaast geeft o.a. Dabrowski aan dat deze leerlingen hooggevoelig en snel overprikkeld kunnen zijn (Daniels &amp; Piechowski, 2019).</w:t>
      </w:r>
    </w:p>
    <w:p w14:paraId="4664F4FC" w14:textId="77777777" w:rsidR="001655A5" w:rsidRDefault="00502495">
      <w:pPr>
        <w:spacing w:line="360" w:lineRule="auto"/>
        <w:rPr>
          <w:sz w:val="20"/>
          <w:szCs w:val="20"/>
        </w:rPr>
      </w:pPr>
      <w:r>
        <w:rPr>
          <w:sz w:val="20"/>
          <w:szCs w:val="20"/>
        </w:rPr>
        <w:br/>
        <w:t xml:space="preserve">Vaak is het zo dat je pas je onderwijs aanpast als de leerling vastloopt (Bakx, 2021). Ook al proberen we dat te voorkomen, toch komt dat ook bij ons op school voor. </w:t>
      </w:r>
    </w:p>
    <w:p w14:paraId="2A174CB4" w14:textId="77777777" w:rsidR="001655A5" w:rsidRDefault="001655A5">
      <w:pPr>
        <w:spacing w:line="360" w:lineRule="auto"/>
        <w:rPr>
          <w:sz w:val="20"/>
          <w:szCs w:val="20"/>
        </w:rPr>
      </w:pPr>
    </w:p>
    <w:p w14:paraId="5AE6511B" w14:textId="77777777" w:rsidR="001655A5" w:rsidRDefault="00502495">
      <w:pPr>
        <w:spacing w:line="360" w:lineRule="auto"/>
        <w:rPr>
          <w:sz w:val="20"/>
          <w:szCs w:val="20"/>
        </w:rPr>
      </w:pPr>
      <w:r>
        <w:rPr>
          <w:sz w:val="20"/>
          <w:szCs w:val="20"/>
          <w:u w:val="single"/>
        </w:rPr>
        <w:t>Mogelijk aanpassingen binnen en buiten de les:</w:t>
      </w:r>
      <w:r>
        <w:rPr>
          <w:sz w:val="20"/>
          <w:szCs w:val="20"/>
        </w:rPr>
        <w:br/>
        <w:t>- compacten van de stof in de periode en vaklessen (versnellen in de klas)</w:t>
      </w:r>
    </w:p>
    <w:p w14:paraId="50C27018" w14:textId="77777777" w:rsidR="001655A5" w:rsidRDefault="00502495">
      <w:pPr>
        <w:spacing w:line="360" w:lineRule="auto"/>
        <w:rPr>
          <w:sz w:val="20"/>
          <w:szCs w:val="20"/>
        </w:rPr>
      </w:pPr>
      <w:r>
        <w:rPr>
          <w:sz w:val="20"/>
          <w:szCs w:val="20"/>
        </w:rPr>
        <w:t xml:space="preserve">- verrijken van de stof in de periode en vaklessen (in de vorm van verdiepen of verbreden in de klas) </w:t>
      </w:r>
    </w:p>
    <w:p w14:paraId="4E532927" w14:textId="77777777" w:rsidR="001655A5" w:rsidRDefault="00502495">
      <w:pPr>
        <w:spacing w:line="360" w:lineRule="auto"/>
        <w:rPr>
          <w:sz w:val="20"/>
          <w:szCs w:val="20"/>
        </w:rPr>
      </w:pPr>
      <w:r>
        <w:rPr>
          <w:sz w:val="20"/>
          <w:szCs w:val="20"/>
        </w:rPr>
        <w:t>- verbreden buiten de lessen om: een extra vak</w:t>
      </w:r>
    </w:p>
    <w:p w14:paraId="675E8E3D" w14:textId="77777777" w:rsidR="001655A5" w:rsidRDefault="00502495">
      <w:pPr>
        <w:spacing w:line="360" w:lineRule="auto"/>
        <w:rPr>
          <w:sz w:val="20"/>
          <w:szCs w:val="20"/>
        </w:rPr>
      </w:pPr>
      <w:r>
        <w:rPr>
          <w:sz w:val="20"/>
          <w:szCs w:val="20"/>
        </w:rPr>
        <w:t xml:space="preserve">- versnellen buiten de lessen om: een klas overslaan </w:t>
      </w:r>
    </w:p>
    <w:p w14:paraId="3183A888" w14:textId="77777777" w:rsidR="001655A5" w:rsidRDefault="00502495">
      <w:pPr>
        <w:spacing w:line="360" w:lineRule="auto"/>
        <w:rPr>
          <w:sz w:val="20"/>
          <w:szCs w:val="20"/>
        </w:rPr>
      </w:pPr>
      <w:r>
        <w:rPr>
          <w:sz w:val="20"/>
          <w:szCs w:val="20"/>
        </w:rPr>
        <w:t>- in een rustige plek (bijvoorbeeld mediatheek) kunnen werken</w:t>
      </w:r>
    </w:p>
    <w:p w14:paraId="22E5323D" w14:textId="77777777" w:rsidR="001655A5" w:rsidRDefault="00502495">
      <w:pPr>
        <w:spacing w:line="360" w:lineRule="auto"/>
        <w:rPr>
          <w:sz w:val="20"/>
          <w:szCs w:val="20"/>
        </w:rPr>
      </w:pPr>
      <w:r>
        <w:rPr>
          <w:sz w:val="20"/>
          <w:szCs w:val="20"/>
        </w:rPr>
        <w:t>- aangepast rooster</w:t>
      </w:r>
    </w:p>
    <w:p w14:paraId="4DC516EA" w14:textId="77777777" w:rsidR="001655A5" w:rsidRDefault="001655A5">
      <w:pPr>
        <w:spacing w:line="360" w:lineRule="auto"/>
        <w:rPr>
          <w:sz w:val="20"/>
          <w:szCs w:val="20"/>
        </w:rPr>
      </w:pPr>
    </w:p>
    <w:p w14:paraId="1D0CF729" w14:textId="77777777" w:rsidR="001655A5" w:rsidRDefault="00502495">
      <w:pPr>
        <w:spacing w:line="360" w:lineRule="auto"/>
        <w:rPr>
          <w:sz w:val="20"/>
          <w:szCs w:val="20"/>
          <w:u w:val="single"/>
        </w:rPr>
      </w:pPr>
      <w:r>
        <w:rPr>
          <w:sz w:val="20"/>
          <w:szCs w:val="20"/>
          <w:u w:val="single"/>
        </w:rPr>
        <w:t>Extra activiteiten:</w:t>
      </w:r>
    </w:p>
    <w:p w14:paraId="1572A5CE" w14:textId="77777777" w:rsidR="001655A5" w:rsidRDefault="00502495">
      <w:pPr>
        <w:spacing w:line="360" w:lineRule="auto"/>
        <w:rPr>
          <w:sz w:val="20"/>
          <w:szCs w:val="20"/>
        </w:rPr>
      </w:pPr>
      <w:r>
        <w:rPr>
          <w:sz w:val="20"/>
          <w:szCs w:val="20"/>
        </w:rPr>
        <w:t>Daarnaast is het mogelijk om binnen de school aan extra activiteiten deel te nemen die aansluiten bij hun interessegebied.</w:t>
      </w:r>
    </w:p>
    <w:p w14:paraId="6A4F955E" w14:textId="77777777" w:rsidR="001655A5" w:rsidRDefault="00502495">
      <w:pPr>
        <w:spacing w:line="360" w:lineRule="auto"/>
        <w:rPr>
          <w:sz w:val="20"/>
          <w:szCs w:val="20"/>
        </w:rPr>
      </w:pPr>
      <w:r>
        <w:rPr>
          <w:sz w:val="20"/>
          <w:szCs w:val="20"/>
        </w:rPr>
        <w:t>- leerlingenraad</w:t>
      </w:r>
    </w:p>
    <w:p w14:paraId="0A222692" w14:textId="77777777" w:rsidR="001655A5" w:rsidRDefault="00502495">
      <w:pPr>
        <w:spacing w:line="360" w:lineRule="auto"/>
        <w:rPr>
          <w:sz w:val="20"/>
          <w:szCs w:val="20"/>
        </w:rPr>
      </w:pPr>
      <w:r>
        <w:rPr>
          <w:sz w:val="20"/>
          <w:szCs w:val="20"/>
        </w:rPr>
        <w:t>- deelnemen aan de drama club</w:t>
      </w:r>
    </w:p>
    <w:p w14:paraId="5B2E6656" w14:textId="77777777" w:rsidR="001655A5" w:rsidRDefault="00502495">
      <w:pPr>
        <w:spacing w:line="360" w:lineRule="auto"/>
        <w:rPr>
          <w:sz w:val="20"/>
          <w:szCs w:val="20"/>
        </w:rPr>
      </w:pPr>
      <w:r>
        <w:rPr>
          <w:sz w:val="20"/>
          <w:szCs w:val="20"/>
        </w:rPr>
        <w:t xml:space="preserve">- redacteur of schrijver schoolkrant </w:t>
      </w:r>
    </w:p>
    <w:p w14:paraId="1E18CD08" w14:textId="77777777" w:rsidR="001655A5" w:rsidRDefault="00502495">
      <w:pPr>
        <w:spacing w:line="360" w:lineRule="auto"/>
        <w:rPr>
          <w:sz w:val="20"/>
          <w:szCs w:val="20"/>
        </w:rPr>
      </w:pPr>
      <w:r>
        <w:rPr>
          <w:sz w:val="20"/>
          <w:szCs w:val="20"/>
        </w:rPr>
        <w:t>- leerlingmentoraat</w:t>
      </w:r>
    </w:p>
    <w:p w14:paraId="387E72F0" w14:textId="77777777" w:rsidR="001655A5" w:rsidRDefault="00502495">
      <w:pPr>
        <w:spacing w:line="360" w:lineRule="auto"/>
        <w:rPr>
          <w:sz w:val="20"/>
          <w:szCs w:val="20"/>
        </w:rPr>
      </w:pPr>
      <w:r>
        <w:rPr>
          <w:sz w:val="20"/>
          <w:szCs w:val="20"/>
        </w:rPr>
        <w:t>- deelname open podium</w:t>
      </w:r>
    </w:p>
    <w:p w14:paraId="660C4284" w14:textId="77777777" w:rsidR="001655A5" w:rsidRDefault="00502495">
      <w:pPr>
        <w:spacing w:line="360" w:lineRule="auto"/>
        <w:rPr>
          <w:sz w:val="20"/>
          <w:szCs w:val="20"/>
        </w:rPr>
      </w:pPr>
      <w:r>
        <w:rPr>
          <w:sz w:val="20"/>
          <w:szCs w:val="20"/>
        </w:rPr>
        <w:t xml:space="preserve">- pestpreventie </w:t>
      </w:r>
    </w:p>
    <w:p w14:paraId="7F60C047" w14:textId="77777777" w:rsidR="001655A5" w:rsidRDefault="00502495">
      <w:pPr>
        <w:spacing w:line="360" w:lineRule="auto"/>
        <w:rPr>
          <w:sz w:val="20"/>
          <w:szCs w:val="20"/>
        </w:rPr>
      </w:pPr>
      <w:r>
        <w:rPr>
          <w:sz w:val="20"/>
          <w:szCs w:val="20"/>
        </w:rPr>
        <w:t>- feestcommissie</w:t>
      </w:r>
    </w:p>
    <w:p w14:paraId="3DBD6D70" w14:textId="77777777" w:rsidR="001655A5" w:rsidRDefault="00502495">
      <w:pPr>
        <w:spacing w:line="360" w:lineRule="auto"/>
        <w:rPr>
          <w:sz w:val="20"/>
          <w:szCs w:val="20"/>
        </w:rPr>
      </w:pPr>
      <w:r>
        <w:rPr>
          <w:sz w:val="20"/>
          <w:szCs w:val="20"/>
        </w:rPr>
        <w:t>- We staan open voor extra ideeën vanuit de leerlingen (bijvoorbeeld het organiseren van schaaktoernooien)</w:t>
      </w:r>
    </w:p>
    <w:p w14:paraId="271C2F17" w14:textId="77777777" w:rsidR="001655A5" w:rsidRDefault="00502495">
      <w:pPr>
        <w:spacing w:before="240" w:after="240" w:line="360" w:lineRule="auto"/>
        <w:rPr>
          <w:sz w:val="20"/>
          <w:szCs w:val="20"/>
        </w:rPr>
      </w:pPr>
      <w:r>
        <w:rPr>
          <w:sz w:val="20"/>
          <w:szCs w:val="20"/>
          <w:u w:val="single"/>
        </w:rPr>
        <w:t>Extra ondersteuning</w:t>
      </w:r>
      <w:r>
        <w:rPr>
          <w:sz w:val="20"/>
          <w:szCs w:val="20"/>
          <w:u w:val="single"/>
        </w:rPr>
        <w:br/>
      </w:r>
      <w:r>
        <w:rPr>
          <w:sz w:val="20"/>
          <w:szCs w:val="20"/>
        </w:rPr>
        <w:t xml:space="preserve">De mentor, vakleerkrachten, leerlingen en ouders kunnen extra ondersteuning van de hoogbegaafdheidsspecialist of/en remedial teacher vragen wanneer de leerling vastloopt binnen het onderwijsproces. Hiervoor kunnen diverse redenen zijn, bijvoorbeeld; verveling, statische mindset, hulp nodig bij het ‘leren leren’, perfectionisme, faalangst, zich niet gezien voelen of niet goed voelen in de groep. </w:t>
      </w:r>
      <w:r>
        <w:rPr>
          <w:sz w:val="20"/>
          <w:szCs w:val="20"/>
        </w:rPr>
        <w:br/>
      </w:r>
      <w:r>
        <w:rPr>
          <w:sz w:val="20"/>
          <w:szCs w:val="20"/>
        </w:rPr>
        <w:lastRenderedPageBreak/>
        <w:t>Deze ondersteuning kan één op één of in groepsverband plaatsvinden. Daarnaast zijn er verschillende vormen waarin de ondersteuning plaats vindt:</w:t>
      </w:r>
    </w:p>
    <w:p w14:paraId="7F47512E" w14:textId="77777777" w:rsidR="001655A5" w:rsidRDefault="00502495">
      <w:pPr>
        <w:numPr>
          <w:ilvl w:val="0"/>
          <w:numId w:val="1"/>
        </w:numPr>
        <w:spacing w:before="240" w:line="360" w:lineRule="auto"/>
        <w:rPr>
          <w:sz w:val="20"/>
          <w:szCs w:val="20"/>
        </w:rPr>
      </w:pPr>
      <w:r>
        <w:rPr>
          <w:sz w:val="20"/>
          <w:szCs w:val="20"/>
          <w:u w:val="single"/>
        </w:rPr>
        <w:t>Persoonlijk mentor</w:t>
      </w:r>
      <w:r>
        <w:rPr>
          <w:sz w:val="20"/>
          <w:szCs w:val="20"/>
          <w:u w:val="single"/>
        </w:rPr>
        <w:br/>
      </w:r>
      <w:r>
        <w:rPr>
          <w:sz w:val="20"/>
          <w:szCs w:val="20"/>
        </w:rPr>
        <w:t xml:space="preserve">De hoogbegaafdheidsspecialist kan ingezet worden als persoonlijk mentor en in samenspraak met de leerling (en ouders) een begeleidingsplan bespreken. De inhoud en frequentie daarvan verschillen per leerling.  </w:t>
      </w:r>
      <w:r>
        <w:rPr>
          <w:sz w:val="20"/>
          <w:szCs w:val="20"/>
        </w:rPr>
        <w:br/>
        <w:t xml:space="preserve">Ook kunnen de leerlingen een eigen persoonlijk mentor kiezen. De hoogbegaafdheidsspecialist zal in overleg met deze leerkracht meedenken wanneer dat nodig is. </w:t>
      </w:r>
      <w:r>
        <w:rPr>
          <w:sz w:val="20"/>
          <w:szCs w:val="20"/>
        </w:rPr>
        <w:br/>
      </w:r>
    </w:p>
    <w:p w14:paraId="6E024B04" w14:textId="77777777" w:rsidR="001655A5" w:rsidRDefault="00502495">
      <w:pPr>
        <w:numPr>
          <w:ilvl w:val="0"/>
          <w:numId w:val="2"/>
        </w:numPr>
        <w:spacing w:after="240" w:line="360" w:lineRule="auto"/>
        <w:rPr>
          <w:sz w:val="20"/>
          <w:szCs w:val="20"/>
        </w:rPr>
      </w:pPr>
      <w:r>
        <w:rPr>
          <w:sz w:val="20"/>
          <w:szCs w:val="20"/>
          <w:u w:val="single"/>
        </w:rPr>
        <w:t>Losse begeleidingsgesprekken</w:t>
      </w:r>
      <w:r>
        <w:rPr>
          <w:sz w:val="20"/>
          <w:szCs w:val="20"/>
        </w:rPr>
        <w:br/>
        <w:t>Soms volstaat het om zo nu en dan korte gesprekken te hebben waarin leerling zijn of haar successen, zorgen en vragen met de hoogbegaafdheidsspecialist kan bespreken.</w:t>
      </w:r>
    </w:p>
    <w:p w14:paraId="6904DBA6" w14:textId="77777777" w:rsidR="001655A5" w:rsidRDefault="00502495">
      <w:pPr>
        <w:spacing w:before="240" w:after="240" w:line="360" w:lineRule="auto"/>
        <w:rPr>
          <w:sz w:val="20"/>
          <w:szCs w:val="20"/>
        </w:rPr>
      </w:pPr>
      <w:r>
        <w:rPr>
          <w:sz w:val="20"/>
          <w:szCs w:val="20"/>
        </w:rPr>
        <w:t xml:space="preserve">De specialist formuleert adviezen die voortkomen uit de begeleidingsgesprekken en communiceert dit met de leraren. </w:t>
      </w:r>
    </w:p>
    <w:p w14:paraId="7A6B719A" w14:textId="77777777" w:rsidR="001655A5" w:rsidRDefault="00502495">
      <w:pPr>
        <w:spacing w:before="240" w:after="240" w:line="360" w:lineRule="auto"/>
        <w:rPr>
          <w:sz w:val="20"/>
          <w:szCs w:val="20"/>
        </w:rPr>
      </w:pPr>
      <w:r>
        <w:rPr>
          <w:sz w:val="20"/>
          <w:szCs w:val="20"/>
          <w:u w:val="single"/>
        </w:rPr>
        <w:t>Buitenschoolse talentenprogramma’s</w:t>
      </w:r>
      <w:r>
        <w:rPr>
          <w:sz w:val="20"/>
          <w:szCs w:val="20"/>
          <w:u w:val="single"/>
        </w:rPr>
        <w:br/>
      </w:r>
      <w:r>
        <w:rPr>
          <w:sz w:val="20"/>
          <w:szCs w:val="20"/>
        </w:rPr>
        <w:t xml:space="preserve">Wanneer een leerling zich buiten school op hoog niveau ontwikkelt binnen een bepaald domein (bijvoorbeeld sport of kunst), dan is het mogelijk om in overleg een aangepast rooster of vrijstelling te krijgen zodat de leerling de ontwikkeling binnen school en buiten school beter kan combineren. </w:t>
      </w:r>
    </w:p>
    <w:p w14:paraId="06F21C48" w14:textId="77777777" w:rsidR="001655A5" w:rsidRDefault="00502495">
      <w:pPr>
        <w:spacing w:before="240" w:after="240" w:line="360" w:lineRule="auto"/>
        <w:rPr>
          <w:sz w:val="20"/>
          <w:szCs w:val="20"/>
        </w:rPr>
      </w:pPr>
      <w:r>
        <w:rPr>
          <w:sz w:val="20"/>
          <w:szCs w:val="20"/>
          <w:u w:val="single"/>
        </w:rPr>
        <w:t>Overgangsbesluit</w:t>
      </w:r>
      <w:r>
        <w:rPr>
          <w:sz w:val="20"/>
          <w:szCs w:val="20"/>
          <w:u w:val="single"/>
        </w:rPr>
        <w:br/>
      </w:r>
      <w:r>
        <w:rPr>
          <w:sz w:val="20"/>
          <w:szCs w:val="20"/>
        </w:rPr>
        <w:t xml:space="preserve">Op de vrijeschool wordt de toelating naar een volgend leerjaar niet enkel gekeken naar cijfers maar naar de hele ontwikkeling en leerbehoefte van de leerling (Boettger, 2022). De behaalde resultaten vormen de basis om van daaruit verder te kijken wat het beste is in de ontwikkeling van het kind. </w:t>
      </w:r>
      <w:r>
        <w:rPr>
          <w:sz w:val="20"/>
          <w:szCs w:val="20"/>
        </w:rPr>
        <w:br/>
        <w:t>Onderpresteren komt vaak voor bij leerlingen met kenmerken van (hoog)begaafdheid (</w:t>
      </w:r>
      <w:r>
        <w:rPr>
          <w:highlight w:val="white"/>
        </w:rPr>
        <w:t>Siegle &amp; McCoach, 2018</w:t>
      </w:r>
      <w:r>
        <w:rPr>
          <w:sz w:val="20"/>
          <w:szCs w:val="20"/>
        </w:rPr>
        <w:t xml:space="preserve">). Hier wordt rekening mee gehouden bij het plaatsen van leerling naar een volgend schooljaar. </w:t>
      </w:r>
      <w:r>
        <w:rPr>
          <w:sz w:val="20"/>
          <w:szCs w:val="20"/>
        </w:rPr>
        <w:br/>
        <w:t xml:space="preserve">Daarnaast is de emotionele en sociale ontwikkeling een belangrijke factor die we laten meewegen bij de toelating en het plaatsen van leerlingen met kenmerken van (hoog)begaafdheid voor een volgend schooljaar. </w:t>
      </w:r>
    </w:p>
    <w:p w14:paraId="1133A909" w14:textId="77777777" w:rsidR="001655A5" w:rsidRDefault="001655A5">
      <w:pPr>
        <w:spacing w:before="240" w:after="240" w:line="360" w:lineRule="auto"/>
        <w:rPr>
          <w:sz w:val="20"/>
          <w:szCs w:val="20"/>
        </w:rPr>
      </w:pPr>
    </w:p>
    <w:p w14:paraId="05E87E90" w14:textId="77777777" w:rsidR="001655A5" w:rsidRDefault="001655A5">
      <w:pPr>
        <w:spacing w:before="240" w:after="240" w:line="360" w:lineRule="auto"/>
        <w:rPr>
          <w:sz w:val="30"/>
          <w:szCs w:val="30"/>
        </w:rPr>
      </w:pPr>
    </w:p>
    <w:p w14:paraId="434C07F2" w14:textId="77777777" w:rsidR="001655A5" w:rsidRDefault="001655A5">
      <w:pPr>
        <w:spacing w:before="240" w:after="240" w:line="360" w:lineRule="auto"/>
        <w:rPr>
          <w:sz w:val="30"/>
          <w:szCs w:val="30"/>
        </w:rPr>
      </w:pPr>
    </w:p>
    <w:p w14:paraId="56D99A24" w14:textId="77777777" w:rsidR="001655A5" w:rsidRDefault="001655A5">
      <w:pPr>
        <w:spacing w:before="240" w:after="240" w:line="360" w:lineRule="auto"/>
        <w:rPr>
          <w:sz w:val="30"/>
          <w:szCs w:val="30"/>
        </w:rPr>
      </w:pPr>
    </w:p>
    <w:p w14:paraId="74FB3F00" w14:textId="77777777" w:rsidR="001655A5" w:rsidRDefault="00502495">
      <w:pPr>
        <w:spacing w:before="240" w:after="240" w:line="360" w:lineRule="auto"/>
        <w:rPr>
          <w:sz w:val="30"/>
          <w:szCs w:val="30"/>
        </w:rPr>
      </w:pPr>
      <w:r>
        <w:rPr>
          <w:sz w:val="30"/>
          <w:szCs w:val="30"/>
        </w:rPr>
        <w:lastRenderedPageBreak/>
        <w:t xml:space="preserve">Ondersteuning door een specialist </w:t>
      </w:r>
    </w:p>
    <w:p w14:paraId="65ACE0BA" w14:textId="77777777" w:rsidR="001655A5" w:rsidRDefault="00502495">
      <w:pPr>
        <w:spacing w:before="240" w:after="240" w:line="360" w:lineRule="auto"/>
        <w:rPr>
          <w:sz w:val="20"/>
          <w:szCs w:val="20"/>
        </w:rPr>
      </w:pPr>
      <w:r>
        <w:rPr>
          <w:sz w:val="20"/>
          <w:szCs w:val="20"/>
        </w:rPr>
        <w:t>De school heeft een hoogbegaafdheidsspecialist in dienst die er niet alleen is voor de leerlingen, maar ook voor het onderwijzend personeel. Er vindt op verschillende manieren ondersteuning plaats.</w:t>
      </w:r>
      <w:r>
        <w:rPr>
          <w:sz w:val="20"/>
          <w:szCs w:val="20"/>
        </w:rPr>
        <w:br/>
        <w:t>De specialist communiceert over de theoretische perspectieven op (hoog)begaafdheid en bespreekt de onderwijsbehoefte van deze groep leerlingen. Naast het verzorgen van kennisoverdracht, werkt de specialist samen met secties, en ondersteunt mentoren.</w:t>
      </w:r>
    </w:p>
    <w:p w14:paraId="343637FB" w14:textId="77777777" w:rsidR="001655A5" w:rsidRDefault="001655A5">
      <w:pPr>
        <w:spacing w:before="240" w:after="240" w:line="360" w:lineRule="auto"/>
        <w:rPr>
          <w:sz w:val="20"/>
          <w:szCs w:val="20"/>
        </w:rPr>
      </w:pPr>
    </w:p>
    <w:p w14:paraId="1F0E6E0E" w14:textId="77777777" w:rsidR="001655A5" w:rsidRDefault="001655A5">
      <w:pPr>
        <w:spacing w:before="240" w:after="240" w:line="360" w:lineRule="auto"/>
        <w:rPr>
          <w:sz w:val="20"/>
          <w:szCs w:val="20"/>
        </w:rPr>
      </w:pPr>
    </w:p>
    <w:p w14:paraId="07A0C8B6" w14:textId="77777777" w:rsidR="001655A5" w:rsidRDefault="00502495">
      <w:pPr>
        <w:pStyle w:val="Kop2"/>
      </w:pPr>
      <w:bookmarkStart w:id="4" w:name="_heading=h.5zvcz4ht2cki" w:colFirst="0" w:colLast="0"/>
      <w:bookmarkEnd w:id="4"/>
      <w:r>
        <w:t xml:space="preserve">Literatuurlijst </w:t>
      </w:r>
    </w:p>
    <w:p w14:paraId="3E409561" w14:textId="77777777" w:rsidR="001655A5" w:rsidRDefault="00502495">
      <w:pPr>
        <w:spacing w:before="240" w:after="240" w:line="360" w:lineRule="auto"/>
        <w:rPr>
          <w:sz w:val="20"/>
          <w:szCs w:val="20"/>
        </w:rPr>
      </w:pPr>
      <w:r>
        <w:rPr>
          <w:sz w:val="20"/>
          <w:szCs w:val="20"/>
        </w:rPr>
        <w:t xml:space="preserve">Bakx, A. W. E. A., van Gerven, E. W. J. M., &amp; Weterings-Helmons, A. (2021). </w:t>
      </w:r>
      <w:r>
        <w:rPr>
          <w:i/>
          <w:sz w:val="20"/>
          <w:szCs w:val="20"/>
        </w:rPr>
        <w:t xml:space="preserve">Hoe dan?! Pakkend </w:t>
      </w:r>
      <w:r>
        <w:rPr>
          <w:i/>
          <w:sz w:val="20"/>
          <w:szCs w:val="20"/>
        </w:rPr>
        <w:br/>
      </w:r>
      <w:r>
        <w:rPr>
          <w:i/>
          <w:sz w:val="20"/>
          <w:szCs w:val="20"/>
        </w:rPr>
        <w:tab/>
        <w:t>onderwijs voor begaafde leerlingen</w:t>
      </w:r>
      <w:r>
        <w:rPr>
          <w:sz w:val="20"/>
          <w:szCs w:val="20"/>
        </w:rPr>
        <w:t>. Uitgeverij Pica.</w:t>
      </w:r>
    </w:p>
    <w:p w14:paraId="4EAF8AF8" w14:textId="77777777" w:rsidR="001655A5" w:rsidRDefault="00502495">
      <w:pPr>
        <w:rPr>
          <w:sz w:val="20"/>
          <w:szCs w:val="20"/>
        </w:rPr>
      </w:pPr>
      <w:r>
        <w:rPr>
          <w:sz w:val="20"/>
          <w:szCs w:val="20"/>
        </w:rPr>
        <w:t xml:space="preserve">Biesta, G. (2015) </w:t>
      </w:r>
      <w:r>
        <w:rPr>
          <w:i/>
          <w:sz w:val="20"/>
          <w:szCs w:val="20"/>
        </w:rPr>
        <w:t>Het prachtige risico van onderwijs.</w:t>
      </w:r>
      <w:r>
        <w:rPr>
          <w:sz w:val="20"/>
          <w:szCs w:val="20"/>
        </w:rPr>
        <w:t xml:space="preserve"> Phronese</w:t>
      </w:r>
    </w:p>
    <w:p w14:paraId="3F73390A" w14:textId="77777777" w:rsidR="001655A5" w:rsidRDefault="00502495">
      <w:pPr>
        <w:spacing w:before="240" w:after="240" w:line="360" w:lineRule="auto"/>
        <w:rPr>
          <w:sz w:val="20"/>
          <w:szCs w:val="20"/>
        </w:rPr>
      </w:pPr>
      <w:r>
        <w:rPr>
          <w:sz w:val="20"/>
          <w:szCs w:val="20"/>
        </w:rPr>
        <w:t xml:space="preserve">Boettger, C. (2022). </w:t>
      </w:r>
      <w:r>
        <w:rPr>
          <w:i/>
          <w:sz w:val="20"/>
          <w:szCs w:val="20"/>
        </w:rPr>
        <w:t>Waldorfpädagogik und Hochbegabung: Fragen – Methoden – Kontext</w:t>
      </w:r>
      <w:r>
        <w:rPr>
          <w:sz w:val="20"/>
          <w:szCs w:val="20"/>
        </w:rPr>
        <w:t xml:space="preserve">. Verlag am </w:t>
      </w:r>
      <w:r>
        <w:rPr>
          <w:sz w:val="20"/>
          <w:szCs w:val="20"/>
        </w:rPr>
        <w:br/>
      </w:r>
      <w:r>
        <w:rPr>
          <w:sz w:val="20"/>
          <w:szCs w:val="20"/>
        </w:rPr>
        <w:tab/>
        <w:t>Goetheanum.</w:t>
      </w:r>
    </w:p>
    <w:p w14:paraId="42601285" w14:textId="77777777" w:rsidR="001655A5" w:rsidRDefault="00502495">
      <w:pPr>
        <w:spacing w:line="360" w:lineRule="auto"/>
        <w:rPr>
          <w:sz w:val="20"/>
          <w:szCs w:val="20"/>
        </w:rPr>
      </w:pPr>
      <w:r>
        <w:rPr>
          <w:sz w:val="20"/>
          <w:szCs w:val="20"/>
        </w:rPr>
        <w:t xml:space="preserve">Clark, G., &amp; Zimmerman, E. (1998). Nurturing the arts in programs for gifted and talented students. </w:t>
      </w:r>
      <w:r>
        <w:rPr>
          <w:sz w:val="20"/>
          <w:szCs w:val="20"/>
        </w:rPr>
        <w:br/>
      </w:r>
      <w:r>
        <w:rPr>
          <w:sz w:val="20"/>
          <w:szCs w:val="20"/>
        </w:rPr>
        <w:tab/>
      </w:r>
      <w:r>
        <w:rPr>
          <w:i/>
          <w:sz w:val="20"/>
          <w:szCs w:val="20"/>
        </w:rPr>
        <w:t>Phi Delta Kappan, 79</w:t>
      </w:r>
      <w:r>
        <w:rPr>
          <w:sz w:val="20"/>
          <w:szCs w:val="20"/>
        </w:rPr>
        <w:t>(10), 752–755.</w:t>
      </w:r>
    </w:p>
    <w:p w14:paraId="7AB342A4" w14:textId="77777777" w:rsidR="001655A5" w:rsidRDefault="001655A5">
      <w:pPr>
        <w:spacing w:line="360" w:lineRule="auto"/>
        <w:rPr>
          <w:sz w:val="20"/>
          <w:szCs w:val="20"/>
        </w:rPr>
      </w:pPr>
    </w:p>
    <w:p w14:paraId="4A1094F9" w14:textId="77777777" w:rsidR="001655A5" w:rsidRDefault="00502495">
      <w:pPr>
        <w:spacing w:line="360" w:lineRule="auto"/>
        <w:rPr>
          <w:sz w:val="20"/>
          <w:szCs w:val="20"/>
          <w:highlight w:val="white"/>
        </w:rPr>
      </w:pPr>
      <w:r>
        <w:rPr>
          <w:sz w:val="20"/>
          <w:szCs w:val="20"/>
          <w:highlight w:val="white"/>
        </w:rPr>
        <w:t xml:space="preserve">Dai, D. Y. (2018). A history of giftedness: A century of quest for identity. In S. I. Pfeiffer, E. E. </w:t>
      </w:r>
      <w:r>
        <w:rPr>
          <w:sz w:val="20"/>
          <w:szCs w:val="20"/>
          <w:highlight w:val="white"/>
        </w:rPr>
        <w:br/>
      </w:r>
      <w:r>
        <w:rPr>
          <w:sz w:val="20"/>
          <w:szCs w:val="20"/>
          <w:highlight w:val="white"/>
        </w:rPr>
        <w:tab/>
        <w:t xml:space="preserve">Shaunessy-Dedrick, &amp; M. E. Foley-Nicpon (Eds.), </w:t>
      </w:r>
      <w:r>
        <w:rPr>
          <w:i/>
          <w:sz w:val="20"/>
          <w:szCs w:val="20"/>
          <w:highlight w:val="white"/>
        </w:rPr>
        <w:t xml:space="preserve">APA handbook of giftedness and </w:t>
      </w:r>
      <w:r>
        <w:rPr>
          <w:i/>
          <w:sz w:val="20"/>
          <w:szCs w:val="20"/>
          <w:highlight w:val="white"/>
        </w:rPr>
        <w:br/>
      </w:r>
      <w:r>
        <w:rPr>
          <w:i/>
          <w:sz w:val="20"/>
          <w:szCs w:val="20"/>
          <w:highlight w:val="white"/>
        </w:rPr>
        <w:tab/>
        <w:t>talent</w:t>
      </w:r>
      <w:r>
        <w:rPr>
          <w:sz w:val="20"/>
          <w:szCs w:val="20"/>
          <w:highlight w:val="white"/>
        </w:rPr>
        <w:t xml:space="preserve"> (pp. 3-23). American Psychological Association.</w:t>
      </w:r>
    </w:p>
    <w:p w14:paraId="792FF6FC" w14:textId="77777777" w:rsidR="001655A5" w:rsidRDefault="001655A5">
      <w:pPr>
        <w:spacing w:line="360" w:lineRule="auto"/>
        <w:rPr>
          <w:sz w:val="20"/>
          <w:szCs w:val="20"/>
          <w:highlight w:val="white"/>
        </w:rPr>
      </w:pPr>
    </w:p>
    <w:p w14:paraId="40231C48" w14:textId="77777777" w:rsidR="001655A5" w:rsidRDefault="00502495">
      <w:pPr>
        <w:spacing w:line="360" w:lineRule="auto"/>
        <w:rPr>
          <w:sz w:val="20"/>
          <w:szCs w:val="20"/>
          <w:highlight w:val="white"/>
        </w:rPr>
      </w:pPr>
      <w:r>
        <w:rPr>
          <w:sz w:val="20"/>
          <w:szCs w:val="20"/>
          <w:highlight w:val="white"/>
        </w:rPr>
        <w:t xml:space="preserve">Dabrowski, K., Piechowski, M. M. (1977). Theory of levels of emotional development. Oceanside, NY: </w:t>
      </w:r>
      <w:r>
        <w:rPr>
          <w:sz w:val="20"/>
          <w:szCs w:val="20"/>
          <w:highlight w:val="white"/>
        </w:rPr>
        <w:br/>
      </w:r>
      <w:r>
        <w:rPr>
          <w:sz w:val="20"/>
          <w:szCs w:val="20"/>
          <w:highlight w:val="white"/>
        </w:rPr>
        <w:tab/>
        <w:t>Dabor Schience</w:t>
      </w:r>
      <w:r>
        <w:rPr>
          <w:sz w:val="20"/>
          <w:szCs w:val="20"/>
          <w:highlight w:val="white"/>
        </w:rPr>
        <w:br/>
        <w:t xml:space="preserve">In:  </w:t>
      </w:r>
      <w:r>
        <w:rPr>
          <w:sz w:val="20"/>
          <w:szCs w:val="20"/>
        </w:rPr>
        <w:t xml:space="preserve">Daniels, S., &amp; Piechowski, M. M. (2019). </w:t>
      </w:r>
      <w:r>
        <w:rPr>
          <w:i/>
          <w:sz w:val="20"/>
          <w:szCs w:val="20"/>
        </w:rPr>
        <w:t xml:space="preserve">Leven met intensiteit: Over begrip voor de sensitiviteit, </w:t>
      </w:r>
      <w:r>
        <w:rPr>
          <w:i/>
          <w:sz w:val="20"/>
          <w:szCs w:val="20"/>
        </w:rPr>
        <w:br/>
      </w:r>
      <w:r>
        <w:rPr>
          <w:i/>
          <w:sz w:val="20"/>
          <w:szCs w:val="20"/>
        </w:rPr>
        <w:tab/>
        <w:t xml:space="preserve">prikkelbaarheid en emotionele ontwikkeling van begaafde kinderen, adolescenten en </w:t>
      </w:r>
      <w:r>
        <w:rPr>
          <w:i/>
          <w:sz w:val="20"/>
          <w:szCs w:val="20"/>
        </w:rPr>
        <w:br/>
      </w:r>
      <w:r>
        <w:rPr>
          <w:i/>
          <w:sz w:val="20"/>
          <w:szCs w:val="20"/>
        </w:rPr>
        <w:tab/>
        <w:t>volwassenen</w:t>
      </w:r>
      <w:r>
        <w:rPr>
          <w:sz w:val="20"/>
          <w:szCs w:val="20"/>
        </w:rPr>
        <w:t>. Novilo.</w:t>
      </w:r>
    </w:p>
    <w:p w14:paraId="1E00BE04" w14:textId="77777777" w:rsidR="001655A5" w:rsidRDefault="001655A5">
      <w:pPr>
        <w:spacing w:line="360" w:lineRule="auto"/>
        <w:rPr>
          <w:sz w:val="20"/>
          <w:szCs w:val="20"/>
          <w:highlight w:val="white"/>
        </w:rPr>
      </w:pPr>
    </w:p>
    <w:p w14:paraId="1D865A59" w14:textId="77777777" w:rsidR="001655A5" w:rsidRDefault="00502495">
      <w:pPr>
        <w:spacing w:line="360" w:lineRule="auto"/>
        <w:rPr>
          <w:b/>
          <w:sz w:val="20"/>
          <w:szCs w:val="20"/>
          <w:highlight w:val="white"/>
        </w:rPr>
      </w:pPr>
      <w:r>
        <w:rPr>
          <w:sz w:val="20"/>
          <w:szCs w:val="20"/>
        </w:rPr>
        <w:t xml:space="preserve">Daniels, S., &amp; Piechowski, M. M. (2019). </w:t>
      </w:r>
      <w:r>
        <w:rPr>
          <w:i/>
          <w:sz w:val="20"/>
          <w:szCs w:val="20"/>
        </w:rPr>
        <w:t xml:space="preserve">Leven met intensiteit: Over begrip voor de sensitiviteit, </w:t>
      </w:r>
      <w:r>
        <w:rPr>
          <w:i/>
          <w:sz w:val="20"/>
          <w:szCs w:val="20"/>
        </w:rPr>
        <w:br/>
      </w:r>
      <w:r>
        <w:rPr>
          <w:i/>
          <w:sz w:val="20"/>
          <w:szCs w:val="20"/>
        </w:rPr>
        <w:tab/>
        <w:t xml:space="preserve">prikkelbaarheid en emotionele ontwikkeling van begaafde kinderen, adolescenten en </w:t>
      </w:r>
      <w:r>
        <w:rPr>
          <w:i/>
          <w:sz w:val="20"/>
          <w:szCs w:val="20"/>
        </w:rPr>
        <w:br/>
      </w:r>
      <w:r>
        <w:rPr>
          <w:i/>
          <w:sz w:val="20"/>
          <w:szCs w:val="20"/>
        </w:rPr>
        <w:tab/>
        <w:t>volwassenen</w:t>
      </w:r>
      <w:r>
        <w:rPr>
          <w:sz w:val="20"/>
          <w:szCs w:val="20"/>
        </w:rPr>
        <w:t>. Novilo.</w:t>
      </w:r>
    </w:p>
    <w:p w14:paraId="4644D954" w14:textId="77777777" w:rsidR="001655A5" w:rsidRDefault="001655A5">
      <w:pPr>
        <w:spacing w:line="360" w:lineRule="auto"/>
        <w:rPr>
          <w:sz w:val="20"/>
          <w:szCs w:val="20"/>
        </w:rPr>
      </w:pPr>
    </w:p>
    <w:p w14:paraId="5A5252EA" w14:textId="77777777" w:rsidR="001655A5" w:rsidRDefault="00502495">
      <w:pPr>
        <w:keepLines/>
        <w:spacing w:line="360" w:lineRule="auto"/>
        <w:rPr>
          <w:sz w:val="20"/>
          <w:szCs w:val="20"/>
        </w:rPr>
      </w:pPr>
      <w:r>
        <w:rPr>
          <w:sz w:val="20"/>
          <w:szCs w:val="20"/>
          <w:highlight w:val="white"/>
        </w:rPr>
        <w:t xml:space="preserve">Gangé, F. (2018) Academic talent development: Theory and best practices. In S.I. Pheiffer, </w:t>
      </w:r>
      <w:r>
        <w:rPr>
          <w:sz w:val="20"/>
          <w:szCs w:val="20"/>
          <w:highlight w:val="white"/>
        </w:rPr>
        <w:br/>
      </w:r>
      <w:r>
        <w:rPr>
          <w:sz w:val="20"/>
          <w:szCs w:val="20"/>
          <w:highlight w:val="white"/>
        </w:rPr>
        <w:tab/>
        <w:t xml:space="preserve">APA Handbook of giftedness and talent: (pp. 163-183). American Psychological </w:t>
      </w:r>
      <w:r>
        <w:rPr>
          <w:sz w:val="20"/>
          <w:szCs w:val="20"/>
          <w:highlight w:val="white"/>
        </w:rPr>
        <w:br/>
      </w:r>
      <w:r>
        <w:rPr>
          <w:sz w:val="20"/>
          <w:szCs w:val="20"/>
          <w:highlight w:val="white"/>
        </w:rPr>
        <w:tab/>
        <w:t>Association</w:t>
      </w:r>
    </w:p>
    <w:p w14:paraId="2343CE53" w14:textId="77777777" w:rsidR="001655A5" w:rsidRDefault="00502495">
      <w:pPr>
        <w:keepLines/>
        <w:spacing w:before="260" w:line="360" w:lineRule="auto"/>
        <w:rPr>
          <w:sz w:val="20"/>
          <w:szCs w:val="20"/>
        </w:rPr>
      </w:pPr>
      <w:r>
        <w:lastRenderedPageBreak/>
        <w:t>Kieboom, T. (2015)</w:t>
      </w:r>
      <w:r>
        <w:rPr>
          <w:i/>
        </w:rPr>
        <w:t xml:space="preserve"> Hoogbegaafdheid: Als je kind (g)een Einstein is</w:t>
      </w:r>
      <w:r>
        <w:t>. Uitgeverij Lannoo nv.</w:t>
      </w:r>
    </w:p>
    <w:p w14:paraId="7B4F0E88" w14:textId="77777777" w:rsidR="001655A5" w:rsidRDefault="001655A5">
      <w:pPr>
        <w:spacing w:line="360" w:lineRule="auto"/>
        <w:rPr>
          <w:sz w:val="20"/>
          <w:szCs w:val="20"/>
        </w:rPr>
      </w:pPr>
    </w:p>
    <w:p w14:paraId="22ED6315" w14:textId="77777777" w:rsidR="001655A5" w:rsidRDefault="00502495">
      <w:pPr>
        <w:spacing w:line="360" w:lineRule="auto"/>
        <w:rPr>
          <w:sz w:val="20"/>
          <w:szCs w:val="20"/>
        </w:rPr>
      </w:pPr>
      <w:r>
        <w:rPr>
          <w:sz w:val="20"/>
          <w:szCs w:val="20"/>
        </w:rPr>
        <w:t xml:space="preserve">Little, C.A. (2018). Teaching strategies to support the education of gifted learners. In S.I. Pfeiffer, E.E. </w:t>
      </w:r>
      <w:r>
        <w:rPr>
          <w:sz w:val="20"/>
          <w:szCs w:val="20"/>
        </w:rPr>
        <w:br/>
      </w:r>
      <w:r>
        <w:rPr>
          <w:sz w:val="20"/>
          <w:szCs w:val="20"/>
        </w:rPr>
        <w:tab/>
        <w:t xml:space="preserve">Shaunessy-Dedrick, M.E. Foley-Nicpon. (Ed.), APA Handbook of Giftedness and Talent (pp. </w:t>
      </w:r>
      <w:r>
        <w:rPr>
          <w:sz w:val="20"/>
          <w:szCs w:val="20"/>
        </w:rPr>
        <w:br/>
      </w:r>
      <w:r>
        <w:rPr>
          <w:sz w:val="20"/>
          <w:szCs w:val="20"/>
        </w:rPr>
        <w:tab/>
        <w:t>371-385). American Psychological Association. (Hoofdstuk 24, p. 371-381)</w:t>
      </w:r>
    </w:p>
    <w:p w14:paraId="07FED0DC" w14:textId="77777777" w:rsidR="001655A5" w:rsidRDefault="001655A5">
      <w:pPr>
        <w:spacing w:line="360" w:lineRule="auto"/>
        <w:rPr>
          <w:sz w:val="20"/>
          <w:szCs w:val="20"/>
        </w:rPr>
      </w:pPr>
    </w:p>
    <w:p w14:paraId="559F2C30" w14:textId="77777777" w:rsidR="001655A5" w:rsidRDefault="00502495">
      <w:pPr>
        <w:spacing w:line="360" w:lineRule="auto"/>
        <w:rPr>
          <w:sz w:val="20"/>
          <w:szCs w:val="20"/>
        </w:rPr>
      </w:pPr>
      <w:r>
        <w:rPr>
          <w:sz w:val="20"/>
          <w:szCs w:val="20"/>
        </w:rPr>
        <w:t xml:space="preserve">Mayo, A. (2015). </w:t>
      </w:r>
      <w:r>
        <w:rPr>
          <w:i/>
          <w:sz w:val="20"/>
          <w:szCs w:val="20"/>
        </w:rPr>
        <w:t>Autonomie in verbondenheid</w:t>
      </w:r>
      <w:r>
        <w:rPr>
          <w:sz w:val="20"/>
          <w:szCs w:val="20"/>
        </w:rPr>
        <w:t xml:space="preserve"> [Lectorale rede, Hogeschool Leiden]. Hogeschool </w:t>
      </w:r>
      <w:r>
        <w:rPr>
          <w:sz w:val="20"/>
          <w:szCs w:val="20"/>
        </w:rPr>
        <w:br/>
      </w:r>
      <w:r>
        <w:rPr>
          <w:sz w:val="20"/>
          <w:szCs w:val="20"/>
        </w:rPr>
        <w:tab/>
        <w:t>Leiden.</w:t>
      </w:r>
      <w:hyperlink r:id="rId9">
        <w:r>
          <w:rPr>
            <w:sz w:val="20"/>
            <w:szCs w:val="20"/>
          </w:rPr>
          <w:t xml:space="preserve"> </w:t>
        </w:r>
      </w:hyperlink>
      <w:hyperlink r:id="rId10">
        <w:r>
          <w:rPr>
            <w:sz w:val="20"/>
            <w:szCs w:val="20"/>
            <w:u w:val="single"/>
          </w:rPr>
          <w:t>https://hsleiden.mediamission.nl/Mediasite/Play/b7e2c48d73824cc8b7c5aa62ca4aaea91d</w:t>
        </w:r>
      </w:hyperlink>
    </w:p>
    <w:p w14:paraId="566F03FB" w14:textId="77777777" w:rsidR="001655A5" w:rsidRDefault="001655A5">
      <w:pPr>
        <w:spacing w:line="360" w:lineRule="auto"/>
        <w:rPr>
          <w:sz w:val="20"/>
          <w:szCs w:val="20"/>
        </w:rPr>
      </w:pPr>
    </w:p>
    <w:p w14:paraId="7BF88627" w14:textId="77777777" w:rsidR="001655A5" w:rsidRDefault="00502495">
      <w:pPr>
        <w:spacing w:line="360" w:lineRule="auto"/>
        <w:rPr>
          <w:sz w:val="20"/>
          <w:szCs w:val="20"/>
        </w:rPr>
      </w:pPr>
      <w:r>
        <w:rPr>
          <w:sz w:val="20"/>
          <w:szCs w:val="20"/>
        </w:rPr>
        <w:t xml:space="preserve">Petrash, J. (2002). </w:t>
      </w:r>
      <w:r>
        <w:rPr>
          <w:i/>
          <w:sz w:val="20"/>
          <w:szCs w:val="20"/>
        </w:rPr>
        <w:t>Understanding Waldorf education: Teaching from the inside out</w:t>
      </w:r>
      <w:r>
        <w:rPr>
          <w:sz w:val="20"/>
          <w:szCs w:val="20"/>
        </w:rPr>
        <w:t>. Gryphon House.</w:t>
      </w:r>
    </w:p>
    <w:p w14:paraId="083F7B6F" w14:textId="77777777" w:rsidR="001655A5" w:rsidRDefault="00502495">
      <w:pPr>
        <w:keepLines/>
        <w:spacing w:before="260" w:line="360" w:lineRule="auto"/>
        <w:rPr>
          <w:sz w:val="18"/>
          <w:szCs w:val="18"/>
          <w:highlight w:val="white"/>
        </w:rPr>
      </w:pPr>
      <w:r>
        <w:rPr>
          <w:sz w:val="20"/>
          <w:szCs w:val="20"/>
        </w:rPr>
        <w:t xml:space="preserve">Renzulli, J. S. (1978). "What makes giftedness? Reexamining a definition." Phi Delta Kappan, 60(3), </w:t>
      </w:r>
      <w:r>
        <w:rPr>
          <w:sz w:val="20"/>
          <w:szCs w:val="20"/>
        </w:rPr>
        <w:br/>
      </w:r>
      <w:r>
        <w:rPr>
          <w:sz w:val="20"/>
          <w:szCs w:val="20"/>
        </w:rPr>
        <w:tab/>
        <w:t>180-184</w:t>
      </w:r>
    </w:p>
    <w:p w14:paraId="066F0F25" w14:textId="77777777" w:rsidR="001655A5" w:rsidRDefault="001655A5">
      <w:pPr>
        <w:spacing w:line="360" w:lineRule="auto"/>
        <w:rPr>
          <w:sz w:val="20"/>
          <w:szCs w:val="20"/>
          <w:highlight w:val="white"/>
        </w:rPr>
      </w:pPr>
    </w:p>
    <w:p w14:paraId="6DA4AC4C" w14:textId="77777777" w:rsidR="001655A5" w:rsidRDefault="00502495">
      <w:pPr>
        <w:spacing w:line="360" w:lineRule="auto"/>
        <w:rPr>
          <w:sz w:val="20"/>
          <w:szCs w:val="20"/>
        </w:rPr>
      </w:pPr>
      <w:r>
        <w:rPr>
          <w:sz w:val="20"/>
          <w:szCs w:val="20"/>
          <w:highlight w:val="white"/>
        </w:rPr>
        <w:t xml:space="preserve">Siegle, D., &amp; McCoach, D. B. (2018). Underachievement and the gifted child. In S. I. Pfeiffer, </w:t>
      </w:r>
      <w:r>
        <w:rPr>
          <w:sz w:val="20"/>
          <w:szCs w:val="20"/>
          <w:highlight w:val="white"/>
        </w:rPr>
        <w:br/>
      </w:r>
      <w:r>
        <w:rPr>
          <w:sz w:val="20"/>
          <w:szCs w:val="20"/>
          <w:highlight w:val="white"/>
        </w:rPr>
        <w:tab/>
        <w:t xml:space="preserve">E. E. Shaunessy-Dedrick, &amp; M. E. Foley-Nicpon (Eds.), </w:t>
      </w:r>
      <w:r>
        <w:rPr>
          <w:i/>
          <w:sz w:val="20"/>
          <w:szCs w:val="20"/>
          <w:highlight w:val="white"/>
        </w:rPr>
        <w:t xml:space="preserve">APA handbook of giftedness </w:t>
      </w:r>
      <w:r>
        <w:rPr>
          <w:i/>
          <w:sz w:val="20"/>
          <w:szCs w:val="20"/>
          <w:highlight w:val="white"/>
        </w:rPr>
        <w:br/>
      </w:r>
      <w:r>
        <w:rPr>
          <w:i/>
          <w:sz w:val="20"/>
          <w:szCs w:val="20"/>
          <w:highlight w:val="white"/>
        </w:rPr>
        <w:tab/>
        <w:t>and talent</w:t>
      </w:r>
      <w:r>
        <w:rPr>
          <w:sz w:val="20"/>
          <w:szCs w:val="20"/>
          <w:highlight w:val="white"/>
        </w:rPr>
        <w:t xml:space="preserve"> (pp. 559-573). American Psychological Association.</w:t>
      </w:r>
    </w:p>
    <w:p w14:paraId="6172BFBE" w14:textId="77777777" w:rsidR="001655A5" w:rsidRDefault="00502495">
      <w:pPr>
        <w:spacing w:line="360" w:lineRule="auto"/>
        <w:rPr>
          <w:sz w:val="20"/>
          <w:szCs w:val="20"/>
        </w:rPr>
      </w:pPr>
      <w:r>
        <w:rPr>
          <w:sz w:val="20"/>
          <w:szCs w:val="20"/>
        </w:rPr>
        <w:br/>
        <w:t xml:space="preserve">Snikkers, S. (2020, 11 december). </w:t>
      </w:r>
      <w:r>
        <w:rPr>
          <w:i/>
          <w:sz w:val="20"/>
          <w:szCs w:val="20"/>
        </w:rPr>
        <w:t>Hoogbegaafd in het Vrijeschoolonderwijs</w:t>
      </w:r>
      <w:r>
        <w:rPr>
          <w:sz w:val="20"/>
          <w:szCs w:val="20"/>
        </w:rPr>
        <w:t xml:space="preserve"> (Aflevering 8) [Podcast]. </w:t>
      </w:r>
      <w:r>
        <w:rPr>
          <w:sz w:val="20"/>
          <w:szCs w:val="20"/>
        </w:rPr>
        <w:br/>
      </w:r>
      <w:r>
        <w:rPr>
          <w:sz w:val="20"/>
          <w:szCs w:val="20"/>
        </w:rPr>
        <w:tab/>
        <w:t xml:space="preserve">In J. J. Hubeek (Host), </w:t>
      </w:r>
      <w:r>
        <w:rPr>
          <w:i/>
          <w:sz w:val="20"/>
          <w:szCs w:val="20"/>
        </w:rPr>
        <w:t>Waarde(n) van Vrijeschoolonderwijs</w:t>
      </w:r>
      <w:r>
        <w:rPr>
          <w:sz w:val="20"/>
          <w:szCs w:val="20"/>
        </w:rPr>
        <w:t>.</w:t>
      </w:r>
      <w:hyperlink r:id="rId11">
        <w:r>
          <w:rPr>
            <w:sz w:val="20"/>
            <w:szCs w:val="20"/>
          </w:rPr>
          <w:t xml:space="preserve"> </w:t>
        </w:r>
      </w:hyperlink>
      <w:hyperlink r:id="rId12">
        <w:r>
          <w:rPr>
            <w:sz w:val="20"/>
            <w:szCs w:val="20"/>
            <w:u w:val="single"/>
          </w:rPr>
          <w:t>https://waarden-vrijeschool.captivate.fm/episode/8-saskia-snikkers-hoogbegaafd-in-het-vrijeschoolonderwijs</w:t>
        </w:r>
      </w:hyperlink>
      <w:r>
        <w:rPr>
          <w:sz w:val="20"/>
          <w:szCs w:val="20"/>
        </w:rPr>
        <w:t xml:space="preserve"> </w:t>
      </w:r>
    </w:p>
    <w:p w14:paraId="0A32B7AA" w14:textId="77777777" w:rsidR="001655A5" w:rsidRDefault="001655A5">
      <w:pPr>
        <w:spacing w:line="360" w:lineRule="auto"/>
        <w:rPr>
          <w:sz w:val="20"/>
          <w:szCs w:val="20"/>
        </w:rPr>
      </w:pPr>
    </w:p>
    <w:p w14:paraId="56BCADDA" w14:textId="77777777" w:rsidR="001655A5" w:rsidRDefault="00502495">
      <w:pPr>
        <w:spacing w:line="360" w:lineRule="auto"/>
        <w:rPr>
          <w:sz w:val="20"/>
          <w:szCs w:val="20"/>
        </w:rPr>
      </w:pPr>
      <w:r>
        <w:rPr>
          <w:sz w:val="20"/>
          <w:szCs w:val="20"/>
        </w:rPr>
        <w:t xml:space="preserve">Snikkers, S. (2018). </w:t>
      </w:r>
      <w:r>
        <w:rPr>
          <w:i/>
          <w:sz w:val="20"/>
          <w:szCs w:val="20"/>
        </w:rPr>
        <w:t xml:space="preserve">Heb je dat kind gezien? Over begeleiding van hoogbegaafde leerlingen op de </w:t>
      </w:r>
      <w:r>
        <w:rPr>
          <w:i/>
          <w:sz w:val="20"/>
          <w:szCs w:val="20"/>
        </w:rPr>
        <w:br/>
      </w:r>
      <w:r>
        <w:rPr>
          <w:i/>
          <w:sz w:val="20"/>
          <w:szCs w:val="20"/>
        </w:rPr>
        <w:tab/>
        <w:t>vrije school</w:t>
      </w:r>
      <w:r>
        <w:rPr>
          <w:sz w:val="20"/>
          <w:szCs w:val="20"/>
        </w:rPr>
        <w:t>. Lectoraat Waarde(n) van Vrijeschoolonderwijs, Hogeschool Leiden.</w:t>
      </w:r>
    </w:p>
    <w:p w14:paraId="1F666DC6" w14:textId="77777777" w:rsidR="001655A5" w:rsidRDefault="001655A5">
      <w:pPr>
        <w:spacing w:line="360" w:lineRule="auto"/>
        <w:rPr>
          <w:sz w:val="20"/>
          <w:szCs w:val="20"/>
        </w:rPr>
      </w:pPr>
    </w:p>
    <w:p w14:paraId="378DF5C9" w14:textId="77777777" w:rsidR="001655A5" w:rsidRDefault="00502495">
      <w:pPr>
        <w:spacing w:line="360" w:lineRule="auto"/>
        <w:rPr>
          <w:sz w:val="20"/>
          <w:szCs w:val="20"/>
        </w:rPr>
      </w:pPr>
      <w:r>
        <w:rPr>
          <w:sz w:val="20"/>
          <w:szCs w:val="20"/>
        </w:rPr>
        <w:t xml:space="preserve">Sternberg, R. J., &amp; Grigorenko, E. L. (2000). </w:t>
      </w:r>
      <w:r>
        <w:rPr>
          <w:i/>
          <w:sz w:val="20"/>
          <w:szCs w:val="20"/>
        </w:rPr>
        <w:t xml:space="preserve">Teaching for successful intelligence: To increase student </w:t>
      </w:r>
      <w:r>
        <w:rPr>
          <w:i/>
          <w:sz w:val="20"/>
          <w:szCs w:val="20"/>
        </w:rPr>
        <w:br/>
      </w:r>
      <w:r>
        <w:rPr>
          <w:i/>
          <w:sz w:val="20"/>
          <w:szCs w:val="20"/>
        </w:rPr>
        <w:tab/>
        <w:t>learning and achievement.</w:t>
      </w:r>
      <w:r>
        <w:rPr>
          <w:sz w:val="20"/>
          <w:szCs w:val="20"/>
        </w:rPr>
        <w:t xml:space="preserve"> Bloomington, IN: Solution Tree Press.</w:t>
      </w:r>
      <w:r>
        <w:rPr>
          <w:sz w:val="20"/>
          <w:szCs w:val="20"/>
        </w:rPr>
        <w:br/>
        <w:t xml:space="preserve">In: Schrover, E. (2015). </w:t>
      </w:r>
      <w:r>
        <w:rPr>
          <w:i/>
          <w:sz w:val="20"/>
          <w:szCs w:val="20"/>
        </w:rPr>
        <w:t>Uitdagend onderwijs aan begaafde leerlingen: Verrijkingstrajecten met effect</w:t>
      </w:r>
      <w:r>
        <w:rPr>
          <w:sz w:val="20"/>
          <w:szCs w:val="20"/>
        </w:rPr>
        <w:t xml:space="preserve">. </w:t>
      </w:r>
      <w:r>
        <w:rPr>
          <w:sz w:val="20"/>
          <w:szCs w:val="20"/>
        </w:rPr>
        <w:br/>
      </w:r>
      <w:r>
        <w:rPr>
          <w:sz w:val="20"/>
          <w:szCs w:val="20"/>
        </w:rPr>
        <w:tab/>
        <w:t>Uitgeverij Van Gorcum</w:t>
      </w:r>
    </w:p>
    <w:p w14:paraId="5C1AE3FA" w14:textId="77777777" w:rsidR="001655A5" w:rsidRDefault="00502495">
      <w:pPr>
        <w:shd w:val="clear" w:color="auto" w:fill="FFFFFF"/>
        <w:spacing w:before="220" w:after="220" w:line="360" w:lineRule="auto"/>
        <w:rPr>
          <w:sz w:val="20"/>
          <w:szCs w:val="20"/>
        </w:rPr>
      </w:pPr>
      <w:r>
        <w:rPr>
          <w:sz w:val="20"/>
          <w:szCs w:val="20"/>
        </w:rPr>
        <w:t xml:space="preserve">Ziegler, A., &amp; Heller, K.A. (2000). Conceptions of giftedness from a meta-theoretical perspective. In </w:t>
      </w:r>
      <w:r>
        <w:rPr>
          <w:sz w:val="20"/>
          <w:szCs w:val="20"/>
        </w:rPr>
        <w:br/>
      </w:r>
      <w:r>
        <w:rPr>
          <w:sz w:val="20"/>
          <w:szCs w:val="20"/>
        </w:rPr>
        <w:tab/>
        <w:t xml:space="preserve">K.A. Heller, F.J. Mönks, R.J. Sternberg and R.F. Subotnik (Eds.), </w:t>
      </w:r>
      <w:r>
        <w:rPr>
          <w:i/>
          <w:sz w:val="20"/>
          <w:szCs w:val="20"/>
        </w:rPr>
        <w:t xml:space="preserve">International handbook of </w:t>
      </w:r>
      <w:r>
        <w:rPr>
          <w:i/>
          <w:sz w:val="20"/>
          <w:szCs w:val="20"/>
        </w:rPr>
        <w:br/>
      </w:r>
      <w:r>
        <w:rPr>
          <w:i/>
          <w:sz w:val="20"/>
          <w:szCs w:val="20"/>
        </w:rPr>
        <w:tab/>
        <w:t xml:space="preserve">giftedness and talent </w:t>
      </w:r>
      <w:r>
        <w:rPr>
          <w:sz w:val="20"/>
          <w:szCs w:val="20"/>
        </w:rPr>
        <w:t>(pp. 3-21). Oxford: Elsevier Science Ltd.</w:t>
      </w:r>
    </w:p>
    <w:p w14:paraId="0EA8E45C" w14:textId="77777777" w:rsidR="001655A5" w:rsidRDefault="001655A5">
      <w:pPr>
        <w:rPr>
          <w:sz w:val="20"/>
          <w:szCs w:val="20"/>
        </w:rPr>
      </w:pPr>
    </w:p>
    <w:sectPr w:rsidR="001655A5">
      <w:footerReference w:type="default" r:id="rId1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77FD" w14:textId="77777777" w:rsidR="007E4C12" w:rsidRDefault="007E4C12">
      <w:pPr>
        <w:spacing w:line="240" w:lineRule="auto"/>
      </w:pPr>
      <w:r>
        <w:separator/>
      </w:r>
    </w:p>
  </w:endnote>
  <w:endnote w:type="continuationSeparator" w:id="0">
    <w:p w14:paraId="67EB2D41" w14:textId="77777777" w:rsidR="007E4C12" w:rsidRDefault="007E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96C3" w14:textId="77777777" w:rsidR="001655A5" w:rsidRDefault="00502495">
    <w:pPr>
      <w:spacing w:line="360" w:lineRule="auto"/>
      <w:rPr>
        <w:color w:val="A6A6A6"/>
        <w:sz w:val="20"/>
        <w:szCs w:val="20"/>
      </w:rPr>
    </w:pPr>
    <w:r>
      <w:rPr>
        <w:color w:val="A6A6A6"/>
        <w:sz w:val="20"/>
        <w:szCs w:val="20"/>
      </w:rPr>
      <w:t xml:space="preserve">Beleidsplan voor leerlingen met kenmerken van (hoog)begaafdheid </w:t>
    </w:r>
    <w:r>
      <w:rPr>
        <w:color w:val="A6A6A6"/>
        <w:sz w:val="20"/>
        <w:szCs w:val="20"/>
      </w:rPr>
      <w:tab/>
    </w:r>
    <w:r>
      <w:rPr>
        <w:color w:val="A6A6A6"/>
        <w:sz w:val="20"/>
        <w:szCs w:val="20"/>
      </w:rPr>
      <w:tab/>
    </w:r>
    <w:r>
      <w:rPr>
        <w:color w:val="A6A6A6"/>
        <w:sz w:val="20"/>
        <w:szCs w:val="20"/>
      </w:rPr>
      <w:tab/>
    </w:r>
    <w:r>
      <w:rPr>
        <w:color w:val="A6A6A6"/>
        <w:sz w:val="20"/>
        <w:szCs w:val="20"/>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5353" w14:textId="77777777" w:rsidR="007E4C12" w:rsidRDefault="007E4C12">
      <w:pPr>
        <w:spacing w:line="240" w:lineRule="auto"/>
      </w:pPr>
      <w:r>
        <w:separator/>
      </w:r>
    </w:p>
  </w:footnote>
  <w:footnote w:type="continuationSeparator" w:id="0">
    <w:p w14:paraId="26E49607" w14:textId="77777777" w:rsidR="007E4C12" w:rsidRDefault="007E4C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53144"/>
    <w:multiLevelType w:val="multilevel"/>
    <w:tmpl w:val="7BA6E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1F21A2"/>
    <w:multiLevelType w:val="multilevel"/>
    <w:tmpl w:val="FCD4D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4295582">
    <w:abstractNumId w:val="0"/>
  </w:num>
  <w:num w:numId="2" w16cid:durableId="128013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A5"/>
    <w:rsid w:val="001655A5"/>
    <w:rsid w:val="00502495"/>
    <w:rsid w:val="006328ED"/>
    <w:rsid w:val="006B4205"/>
    <w:rsid w:val="007E4C12"/>
    <w:rsid w:val="009E7244"/>
    <w:rsid w:val="00ED0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941C"/>
  <w15:docId w15:val="{F1DAFABB-118B-44B2-BECA-B807EB01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Koptekst">
    <w:name w:val="header"/>
    <w:link w:val="KoptekstChar"/>
    <w:uiPriority w:val="99"/>
    <w:unhideWhenUsed/>
    <w:rsid w:val="004459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59CC"/>
  </w:style>
  <w:style w:type="paragraph" w:styleId="Voettekst">
    <w:name w:val="footer"/>
    <w:link w:val="VoettekstChar"/>
    <w:uiPriority w:val="99"/>
    <w:unhideWhenUsed/>
    <w:rsid w:val="004459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59CC"/>
  </w:style>
  <w:style w:type="paragraph" w:styleId="Kopvaninhoudsopgave">
    <w:name w:val="TOC Heading"/>
    <w:uiPriority w:val="39"/>
    <w:unhideWhenUsed/>
    <w:qFormat/>
    <w:rsid w:val="004459CC"/>
    <w:pPr>
      <w:spacing w:before="240" w:line="259" w:lineRule="auto"/>
    </w:pPr>
    <w:rPr>
      <w:rFonts w:asciiTheme="majorHAnsi" w:eastAsiaTheme="majorEastAsia" w:hAnsiTheme="majorHAnsi" w:cstheme="majorBidi"/>
      <w:color w:val="365F91" w:themeColor="accent1" w:themeShade="BF"/>
      <w:sz w:val="32"/>
      <w:szCs w:val="32"/>
      <w:lang w:val="nl-NL"/>
    </w:rPr>
  </w:style>
  <w:style w:type="paragraph" w:styleId="Inhopg2">
    <w:name w:val="toc 2"/>
    <w:autoRedefine/>
    <w:uiPriority w:val="39"/>
    <w:unhideWhenUsed/>
    <w:rsid w:val="004459CC"/>
    <w:pPr>
      <w:tabs>
        <w:tab w:val="right" w:leader="dot" w:pos="9019"/>
      </w:tabs>
      <w:spacing w:after="100"/>
      <w:ind w:left="220"/>
    </w:pPr>
    <w:rPr>
      <w:noProof/>
      <w:sz w:val="20"/>
      <w:szCs w:val="20"/>
    </w:rPr>
  </w:style>
  <w:style w:type="character" w:styleId="Hyperlink">
    <w:name w:val="Hyperlink"/>
    <w:basedOn w:val="Standaardalinea-lettertype"/>
    <w:uiPriority w:val="99"/>
    <w:unhideWhenUsed/>
    <w:rsid w:val="004459CC"/>
    <w:rPr>
      <w:color w:val="0000FF" w:themeColor="hyperlink"/>
      <w:u w:val="single"/>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arden-vrijeschool.captivate.fm/episode/8-saskia-snikkers-hoogbegaafd-in-het-vrijeschoolonderwij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arden-vrijeschool.captivate.fm/episode/8-saskia-snikkers-hoogbegaafd-in-het-vrijeschoolonderwij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sleiden.mediamission.nl/Mediasite/Play/b7e2c48d73824cc8b7c5aa62ca4aaea91d" TargetMode="External"/><Relationship Id="rId4" Type="http://schemas.openxmlformats.org/officeDocument/2006/relationships/settings" Target="settings.xml"/><Relationship Id="rId9" Type="http://schemas.openxmlformats.org/officeDocument/2006/relationships/hyperlink" Target="https://hsleiden.mediamission.nl/Mediasite/Play/b7e2c48d73824cc8b7c5aa62ca4aaea91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NYCp0emm3nDmzlY4Wh0gK/taEA==">CgMxLjAyDmguMnA1bXJ5ZDR4aTNvMg5oLmlvNWttd3dhNzlmczIOaC5wcDk1dzB1eTIxbjIyDmguc2lmbng3dHZpZHJmMg5oLjV6dmN6NGh0MmNraTgAciExWnViamw0UkV1WktOU1h6OGVMaVlaalFlaGRNWnhpM1k=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2722</Words>
  <Characters>14971</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Vinkenborg</dc:creator>
  <cp:lastModifiedBy>Marije van Rijswijk</cp:lastModifiedBy>
  <cp:revision>3</cp:revision>
  <dcterms:created xsi:type="dcterms:W3CDTF">2025-09-15T13:33:00Z</dcterms:created>
  <dcterms:modified xsi:type="dcterms:W3CDTF">2025-09-20T18:15:00Z</dcterms:modified>
</cp:coreProperties>
</file>